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B75A6" w14:textId="23AFA490" w:rsidR="000641B9" w:rsidRPr="0027410A" w:rsidRDefault="000060D3" w:rsidP="00AB4DDD">
      <w:pPr>
        <w:pStyle w:val="Title"/>
        <w:rPr>
          <w:color w:val="143376" w:themeColor="accent1"/>
        </w:rPr>
      </w:pPr>
      <w:bookmarkStart w:id="0" w:name="_Toc333491794"/>
      <w:r>
        <w:rPr>
          <w:color w:val="143376" w:themeColor="accent1"/>
        </w:rPr>
        <w:t>Optimizing</w:t>
      </w:r>
      <w:r w:rsidR="00A22D83">
        <w:rPr>
          <w:color w:val="143376" w:themeColor="accent1"/>
        </w:rPr>
        <w:t xml:space="preserve"> Incentives for Effective PIMs</w:t>
      </w:r>
    </w:p>
    <w:p w14:paraId="247D5991" w14:textId="5AF9DB75" w:rsidR="00404595" w:rsidRPr="00AB4DDD" w:rsidRDefault="00A22D83" w:rsidP="00AB4DDD">
      <w:pPr>
        <w:pStyle w:val="Subtitle"/>
      </w:pPr>
      <w:r>
        <w:t>Coordinating PIM</w:t>
      </w:r>
      <w:r w:rsidR="00642B09">
        <w:t>s</w:t>
      </w:r>
      <w:r>
        <w:t xml:space="preserve"> with</w:t>
      </w:r>
      <w:r w:rsidR="00642B09">
        <w:t xml:space="preserve"> Authorized</w:t>
      </w:r>
      <w:r>
        <w:t xml:space="preserve"> ROE for Efficient and Effective Regulation </w:t>
      </w:r>
    </w:p>
    <w:p w14:paraId="77E1D79B" w14:textId="77777777" w:rsidR="00D26961" w:rsidRPr="006F0579" w:rsidRDefault="00D26961" w:rsidP="00672E38">
      <w:pPr>
        <w:pStyle w:val="Default"/>
        <w:pBdr>
          <w:top w:val="single" w:sz="4" w:space="1" w:color="2D3991"/>
        </w:pBdr>
        <w:ind w:left="1627" w:right="1260"/>
        <w:rPr>
          <w:sz w:val="18"/>
          <w:szCs w:val="26"/>
        </w:rPr>
      </w:pPr>
    </w:p>
    <w:p w14:paraId="2E193D89" w14:textId="13B00317" w:rsidR="00A9508E" w:rsidRPr="00AB4DDD" w:rsidRDefault="00F4779C" w:rsidP="00AB4DDD">
      <w:pPr>
        <w:pStyle w:val="Clientname"/>
      </w:pPr>
      <w:r w:rsidRPr="00AB4DDD">
        <w:t xml:space="preserve">Prepared for </w:t>
      </w:r>
      <w:r w:rsidR="00A22D83">
        <w:t>Clean Virginia</w:t>
      </w:r>
    </w:p>
    <w:p w14:paraId="3F95EA97" w14:textId="77777777" w:rsidR="00D26961" w:rsidRDefault="00D26961" w:rsidP="000C543A">
      <w:pPr>
        <w:pStyle w:val="Default"/>
        <w:ind w:left="1620"/>
        <w:rPr>
          <w:color w:val="555555"/>
          <w:sz w:val="22"/>
          <w:szCs w:val="22"/>
        </w:rPr>
      </w:pPr>
    </w:p>
    <w:p w14:paraId="75556829" w14:textId="77777777" w:rsidR="006F0579" w:rsidRPr="006F0579" w:rsidRDefault="006F0579" w:rsidP="000C543A">
      <w:pPr>
        <w:pStyle w:val="Default"/>
        <w:ind w:left="1620"/>
        <w:rPr>
          <w:color w:val="555555"/>
          <w:sz w:val="22"/>
          <w:szCs w:val="22"/>
        </w:rPr>
      </w:pPr>
    </w:p>
    <w:p w14:paraId="6889EDC5" w14:textId="77777777" w:rsidR="00A9508E" w:rsidRPr="00F049F4" w:rsidRDefault="00D26961" w:rsidP="00F049F4">
      <w:pPr>
        <w:pStyle w:val="CoverAuthors"/>
        <w:spacing w:after="240"/>
        <w:rPr>
          <w:sz w:val="26"/>
          <w:szCs w:val="26"/>
        </w:rPr>
      </w:pPr>
      <w:r w:rsidRPr="00F049F4">
        <w:rPr>
          <w:sz w:val="26"/>
          <w:szCs w:val="26"/>
        </w:rPr>
        <w:t>AUTHORS</w:t>
      </w:r>
    </w:p>
    <w:p w14:paraId="0E738898" w14:textId="6B0A4E14" w:rsidR="00D26961" w:rsidRPr="00F049F4" w:rsidRDefault="00A22D83" w:rsidP="00F049F4">
      <w:pPr>
        <w:pStyle w:val="CoverAuthors"/>
      </w:pPr>
      <w:r>
        <w:t>Ben Havumaki</w:t>
      </w:r>
      <w:r w:rsidR="009649DF" w:rsidRPr="00F049F4">
        <w:tab/>
      </w:r>
    </w:p>
    <w:p w14:paraId="014BE386" w14:textId="00B16CCB" w:rsidR="00F4779C" w:rsidRDefault="00A22D83" w:rsidP="00F049F4">
      <w:pPr>
        <w:pStyle w:val="CoverAuthors"/>
      </w:pPr>
      <w:r>
        <w:t>Ariella Fuzaylov</w:t>
      </w:r>
    </w:p>
    <w:p w14:paraId="576436EA" w14:textId="6D83C4DC" w:rsidR="00F4779C" w:rsidRDefault="00A22D83" w:rsidP="00F049F4">
      <w:pPr>
        <w:pStyle w:val="CoverAuthors"/>
      </w:pPr>
      <w:r>
        <w:t>Melissa Whited</w:t>
      </w:r>
    </w:p>
    <w:p w14:paraId="5569DC38" w14:textId="77777777" w:rsidR="00AB4DDD" w:rsidRPr="00672E38" w:rsidRDefault="00AB4DDD" w:rsidP="00F049F4">
      <w:pPr>
        <w:pStyle w:val="CoverAuthors"/>
      </w:pPr>
    </w:p>
    <w:p w14:paraId="59324382" w14:textId="77777777" w:rsidR="00AB4DDD" w:rsidRDefault="00AB4DDD">
      <w:pPr>
        <w:rPr>
          <w:sz w:val="20"/>
        </w:rPr>
      </w:pPr>
      <w:r>
        <w:rPr>
          <w:sz w:val="20"/>
        </w:rPr>
        <w:br w:type="page"/>
      </w:r>
    </w:p>
    <w:p w14:paraId="7854B308" w14:textId="77777777" w:rsidR="00AB4DDD" w:rsidRDefault="00AB4DDD" w:rsidP="00D32C3E">
      <w:pPr>
        <w:ind w:left="1440" w:right="900"/>
        <w:rPr>
          <w:sz w:val="20"/>
        </w:rPr>
        <w:sectPr w:rsidR="00AB4DDD" w:rsidSect="007A56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60"/>
        </w:sectPr>
      </w:pPr>
    </w:p>
    <w:sdt>
      <w:sdtPr>
        <w:rPr>
          <w:rFonts w:eastAsiaTheme="minorHAnsi" w:cstheme="minorBidi"/>
          <w:b w:val="0"/>
          <w:smallCaps w:val="0"/>
          <w:spacing w:val="0"/>
          <w:kern w:val="0"/>
          <w:sz w:val="24"/>
          <w:szCs w:val="22"/>
          <w:lang w:eastAsia="en-US"/>
        </w:rPr>
        <w:id w:val="-1298607858"/>
        <w:docPartObj>
          <w:docPartGallery w:val="Table of Contents"/>
          <w:docPartUnique/>
        </w:docPartObj>
      </w:sdtPr>
      <w:sdtEndPr>
        <w:rPr>
          <w:noProof/>
          <w:sz w:val="22"/>
        </w:rPr>
      </w:sdtEndPr>
      <w:sdtContent>
        <w:p w14:paraId="64652DD2" w14:textId="77777777" w:rsidR="00B80EA2" w:rsidRDefault="00B80EA2" w:rsidP="00C91147">
          <w:pPr>
            <w:pStyle w:val="TOCHeading"/>
          </w:pPr>
          <w:r>
            <w:t>Contents</w:t>
          </w:r>
        </w:p>
        <w:p w14:paraId="2BE0993B" w14:textId="31DEF568" w:rsidR="001B614A" w:rsidRDefault="00306057">
          <w:pPr>
            <w:pStyle w:val="TOC1"/>
            <w:rPr>
              <w:rFonts w:asciiTheme="minorHAnsi" w:eastAsiaTheme="minorEastAsia" w:hAnsiTheme="minorHAnsi" w:cstheme="minorBidi"/>
              <w:b w:val="0"/>
              <w:smallCaps w:val="0"/>
              <w:kern w:val="2"/>
              <w:sz w:val="24"/>
              <w:szCs w:val="24"/>
              <w14:ligatures w14:val="standardContextual"/>
            </w:rPr>
          </w:pPr>
          <w:r>
            <w:rPr>
              <w:b w:val="0"/>
              <w:smallCaps w:val="0"/>
            </w:rPr>
            <w:fldChar w:fldCharType="begin"/>
          </w:r>
          <w:r>
            <w:rPr>
              <w:b w:val="0"/>
              <w:smallCaps w:val="0"/>
            </w:rPr>
            <w:instrText xml:space="preserve"> TOC \o "1-2" \u \t "Heading 7,1" </w:instrText>
          </w:r>
          <w:r>
            <w:rPr>
              <w:b w:val="0"/>
              <w:smallCaps w:val="0"/>
            </w:rPr>
            <w:fldChar w:fldCharType="separate"/>
          </w:r>
          <w:r w:rsidR="001B614A">
            <w:t>1.</w:t>
          </w:r>
          <w:r w:rsidR="001B614A">
            <w:rPr>
              <w:rFonts w:asciiTheme="minorHAnsi" w:eastAsiaTheme="minorEastAsia" w:hAnsiTheme="minorHAnsi" w:cstheme="minorBidi"/>
              <w:b w:val="0"/>
              <w:smallCaps w:val="0"/>
              <w:kern w:val="2"/>
              <w:sz w:val="24"/>
              <w:szCs w:val="24"/>
              <w14:ligatures w14:val="standardContextual"/>
            </w:rPr>
            <w:tab/>
          </w:r>
          <w:r w:rsidR="001B614A">
            <w:t>Introduction</w:t>
          </w:r>
          <w:r w:rsidR="001B614A">
            <w:tab/>
          </w:r>
          <w:r w:rsidR="001B614A">
            <w:fldChar w:fldCharType="begin"/>
          </w:r>
          <w:r w:rsidR="001B614A">
            <w:instrText xml:space="preserve"> PAGEREF _Toc194415759 \h </w:instrText>
          </w:r>
          <w:r w:rsidR="001B614A">
            <w:fldChar w:fldCharType="separate"/>
          </w:r>
          <w:r w:rsidR="001B614A">
            <w:t>1</w:t>
          </w:r>
          <w:r w:rsidR="001B614A">
            <w:fldChar w:fldCharType="end"/>
          </w:r>
        </w:p>
        <w:p w14:paraId="62632D65" w14:textId="4CD459FB" w:rsidR="001B614A" w:rsidRDefault="001B614A">
          <w:pPr>
            <w:pStyle w:val="TOC1"/>
            <w:rPr>
              <w:rFonts w:asciiTheme="minorHAnsi" w:eastAsiaTheme="minorEastAsia" w:hAnsiTheme="minorHAnsi" w:cstheme="minorBidi"/>
              <w:b w:val="0"/>
              <w:smallCaps w:val="0"/>
              <w:kern w:val="2"/>
              <w:sz w:val="24"/>
              <w:szCs w:val="24"/>
              <w14:ligatures w14:val="standardContextual"/>
            </w:rPr>
          </w:pPr>
          <w:r>
            <w:t>2.</w:t>
          </w:r>
          <w:r>
            <w:rPr>
              <w:rFonts w:asciiTheme="minorHAnsi" w:eastAsiaTheme="minorEastAsia" w:hAnsiTheme="minorHAnsi" w:cstheme="minorBidi"/>
              <w:b w:val="0"/>
              <w:smallCaps w:val="0"/>
              <w:kern w:val="2"/>
              <w:sz w:val="24"/>
              <w:szCs w:val="24"/>
              <w14:ligatures w14:val="standardContextual"/>
            </w:rPr>
            <w:tab/>
          </w:r>
          <w:r>
            <w:t>PIMs Interactions with Other Utility Financial Incentives</w:t>
          </w:r>
          <w:r>
            <w:tab/>
          </w:r>
          <w:r>
            <w:fldChar w:fldCharType="begin"/>
          </w:r>
          <w:r>
            <w:instrText xml:space="preserve"> PAGEREF _Toc194415760 \h </w:instrText>
          </w:r>
          <w:r>
            <w:fldChar w:fldCharType="separate"/>
          </w:r>
          <w:r>
            <w:t>1</w:t>
          </w:r>
          <w:r>
            <w:fldChar w:fldCharType="end"/>
          </w:r>
        </w:p>
        <w:p w14:paraId="11D1680A" w14:textId="76BDC2CF" w:rsidR="001B614A" w:rsidRDefault="001B614A">
          <w:pPr>
            <w:pStyle w:val="TOC2"/>
            <w:rPr>
              <w:rFonts w:asciiTheme="minorHAnsi" w:eastAsiaTheme="minorEastAsia" w:hAnsiTheme="minorHAnsi"/>
              <w:b w:val="0"/>
              <w:noProof/>
              <w:kern w:val="2"/>
              <w:sz w:val="24"/>
              <w:szCs w:val="24"/>
              <w14:ligatures w14:val="standardContextual"/>
            </w:rPr>
          </w:pPr>
          <w:r>
            <w:rPr>
              <w:noProof/>
            </w:rPr>
            <w:t>2.1.</w:t>
          </w:r>
          <w:r>
            <w:rPr>
              <w:rFonts w:asciiTheme="minorHAnsi" w:eastAsiaTheme="minorEastAsia" w:hAnsiTheme="minorHAnsi"/>
              <w:b w:val="0"/>
              <w:noProof/>
              <w:kern w:val="2"/>
              <w:sz w:val="24"/>
              <w:szCs w:val="24"/>
              <w14:ligatures w14:val="standardContextual"/>
            </w:rPr>
            <w:tab/>
          </w:r>
          <w:r>
            <w:rPr>
              <w:noProof/>
            </w:rPr>
            <w:t>PIMs may Exacerbate Capital Bias (PIM Design Challenge #1)</w:t>
          </w:r>
          <w:r>
            <w:rPr>
              <w:noProof/>
            </w:rPr>
            <w:tab/>
          </w:r>
          <w:r>
            <w:rPr>
              <w:noProof/>
            </w:rPr>
            <w:fldChar w:fldCharType="begin"/>
          </w:r>
          <w:r>
            <w:rPr>
              <w:noProof/>
            </w:rPr>
            <w:instrText xml:space="preserve"> PAGEREF _Toc194415761 \h </w:instrText>
          </w:r>
          <w:r>
            <w:rPr>
              <w:noProof/>
            </w:rPr>
          </w:r>
          <w:r>
            <w:rPr>
              <w:noProof/>
            </w:rPr>
            <w:fldChar w:fldCharType="separate"/>
          </w:r>
          <w:r>
            <w:rPr>
              <w:noProof/>
            </w:rPr>
            <w:t>2</w:t>
          </w:r>
          <w:r>
            <w:rPr>
              <w:noProof/>
            </w:rPr>
            <w:fldChar w:fldCharType="end"/>
          </w:r>
        </w:p>
        <w:p w14:paraId="29911423" w14:textId="76CC308B" w:rsidR="001B614A" w:rsidRDefault="001B614A">
          <w:pPr>
            <w:pStyle w:val="TOC2"/>
            <w:rPr>
              <w:rFonts w:asciiTheme="minorHAnsi" w:eastAsiaTheme="minorEastAsia" w:hAnsiTheme="minorHAnsi"/>
              <w:b w:val="0"/>
              <w:noProof/>
              <w:kern w:val="2"/>
              <w:sz w:val="24"/>
              <w:szCs w:val="24"/>
              <w14:ligatures w14:val="standardContextual"/>
            </w:rPr>
          </w:pPr>
          <w:r>
            <w:rPr>
              <w:noProof/>
            </w:rPr>
            <w:t>2.2.</w:t>
          </w:r>
          <w:r>
            <w:rPr>
              <w:rFonts w:asciiTheme="minorHAnsi" w:eastAsiaTheme="minorEastAsia" w:hAnsiTheme="minorHAnsi"/>
              <w:b w:val="0"/>
              <w:noProof/>
              <w:kern w:val="2"/>
              <w:sz w:val="24"/>
              <w:szCs w:val="24"/>
              <w14:ligatures w14:val="standardContextual"/>
            </w:rPr>
            <w:tab/>
          </w:r>
          <w:r>
            <w:rPr>
              <w:noProof/>
            </w:rPr>
            <w:t>PIMs may not Motivate Action (PIM Design Challenge #2)</w:t>
          </w:r>
          <w:r>
            <w:rPr>
              <w:noProof/>
            </w:rPr>
            <w:tab/>
          </w:r>
          <w:r>
            <w:rPr>
              <w:noProof/>
            </w:rPr>
            <w:fldChar w:fldCharType="begin"/>
          </w:r>
          <w:r>
            <w:rPr>
              <w:noProof/>
            </w:rPr>
            <w:instrText xml:space="preserve"> PAGEREF _Toc194415762 \h </w:instrText>
          </w:r>
          <w:r>
            <w:rPr>
              <w:noProof/>
            </w:rPr>
          </w:r>
          <w:r>
            <w:rPr>
              <w:noProof/>
            </w:rPr>
            <w:fldChar w:fldCharType="separate"/>
          </w:r>
          <w:r>
            <w:rPr>
              <w:noProof/>
            </w:rPr>
            <w:t>4</w:t>
          </w:r>
          <w:r>
            <w:rPr>
              <w:noProof/>
            </w:rPr>
            <w:fldChar w:fldCharType="end"/>
          </w:r>
        </w:p>
        <w:p w14:paraId="3DBE47A6" w14:textId="47CEABEE" w:rsidR="001B614A" w:rsidRDefault="001B614A">
          <w:pPr>
            <w:pStyle w:val="TOC2"/>
            <w:rPr>
              <w:rFonts w:asciiTheme="minorHAnsi" w:eastAsiaTheme="minorEastAsia" w:hAnsiTheme="minorHAnsi"/>
              <w:b w:val="0"/>
              <w:noProof/>
              <w:kern w:val="2"/>
              <w:sz w:val="24"/>
              <w:szCs w:val="24"/>
              <w14:ligatures w14:val="standardContextual"/>
            </w:rPr>
          </w:pPr>
          <w:r>
            <w:rPr>
              <w:noProof/>
            </w:rPr>
            <w:t>2.3.</w:t>
          </w:r>
          <w:r>
            <w:rPr>
              <w:rFonts w:asciiTheme="minorHAnsi" w:eastAsiaTheme="minorEastAsia" w:hAnsiTheme="minorHAnsi"/>
              <w:b w:val="0"/>
              <w:noProof/>
              <w:kern w:val="2"/>
              <w:sz w:val="24"/>
              <w:szCs w:val="24"/>
              <w14:ligatures w14:val="standardContextual"/>
            </w:rPr>
            <w:tab/>
          </w:r>
          <w:r>
            <w:rPr>
              <w:noProof/>
            </w:rPr>
            <w:t>PIM Incentives Should be Coordinated with ROE</w:t>
          </w:r>
          <w:r>
            <w:rPr>
              <w:noProof/>
            </w:rPr>
            <w:tab/>
          </w:r>
          <w:r>
            <w:rPr>
              <w:noProof/>
            </w:rPr>
            <w:fldChar w:fldCharType="begin"/>
          </w:r>
          <w:r>
            <w:rPr>
              <w:noProof/>
            </w:rPr>
            <w:instrText xml:space="preserve"> PAGEREF _Toc194415763 \h </w:instrText>
          </w:r>
          <w:r>
            <w:rPr>
              <w:noProof/>
            </w:rPr>
          </w:r>
          <w:r>
            <w:rPr>
              <w:noProof/>
            </w:rPr>
            <w:fldChar w:fldCharType="separate"/>
          </w:r>
          <w:r>
            <w:rPr>
              <w:noProof/>
            </w:rPr>
            <w:t>4</w:t>
          </w:r>
          <w:r>
            <w:rPr>
              <w:noProof/>
            </w:rPr>
            <w:fldChar w:fldCharType="end"/>
          </w:r>
        </w:p>
        <w:p w14:paraId="47CF8957" w14:textId="1DE3A697" w:rsidR="001B614A" w:rsidRDefault="001B614A">
          <w:pPr>
            <w:pStyle w:val="TOC1"/>
            <w:rPr>
              <w:rFonts w:asciiTheme="minorHAnsi" w:eastAsiaTheme="minorEastAsia" w:hAnsiTheme="minorHAnsi" w:cstheme="minorBidi"/>
              <w:b w:val="0"/>
              <w:smallCaps w:val="0"/>
              <w:kern w:val="2"/>
              <w:sz w:val="24"/>
              <w:szCs w:val="24"/>
              <w14:ligatures w14:val="standardContextual"/>
            </w:rPr>
          </w:pPr>
          <w:r>
            <w:t>3.</w:t>
          </w:r>
          <w:r>
            <w:rPr>
              <w:rFonts w:asciiTheme="minorHAnsi" w:eastAsiaTheme="minorEastAsia" w:hAnsiTheme="minorHAnsi" w:cstheme="minorBidi"/>
              <w:b w:val="0"/>
              <w:smallCaps w:val="0"/>
              <w:kern w:val="2"/>
              <w:sz w:val="24"/>
              <w:szCs w:val="24"/>
              <w14:ligatures w14:val="standardContextual"/>
            </w:rPr>
            <w:tab/>
          </w:r>
          <w:r>
            <w:t>Case Study: Energy Efficiency PIMs in Virginia</w:t>
          </w:r>
          <w:r>
            <w:tab/>
          </w:r>
          <w:r>
            <w:fldChar w:fldCharType="begin"/>
          </w:r>
          <w:r>
            <w:instrText xml:space="preserve"> PAGEREF _Toc194415764 \h </w:instrText>
          </w:r>
          <w:r>
            <w:fldChar w:fldCharType="separate"/>
          </w:r>
          <w:r>
            <w:t>4</w:t>
          </w:r>
          <w:r>
            <w:fldChar w:fldCharType="end"/>
          </w:r>
        </w:p>
        <w:p w14:paraId="7FD4A6DE" w14:textId="3BFA0BD4" w:rsidR="001B614A" w:rsidRDefault="001B614A">
          <w:pPr>
            <w:pStyle w:val="TOC2"/>
            <w:rPr>
              <w:rFonts w:asciiTheme="minorHAnsi" w:eastAsiaTheme="minorEastAsia" w:hAnsiTheme="minorHAnsi"/>
              <w:b w:val="0"/>
              <w:noProof/>
              <w:kern w:val="2"/>
              <w:sz w:val="24"/>
              <w:szCs w:val="24"/>
              <w14:ligatures w14:val="standardContextual"/>
            </w:rPr>
          </w:pPr>
          <w:r>
            <w:rPr>
              <w:noProof/>
            </w:rPr>
            <w:t>3.1.</w:t>
          </w:r>
          <w:r>
            <w:rPr>
              <w:rFonts w:asciiTheme="minorHAnsi" w:eastAsiaTheme="minorEastAsia" w:hAnsiTheme="minorHAnsi"/>
              <w:b w:val="0"/>
              <w:noProof/>
              <w:kern w:val="2"/>
              <w:sz w:val="24"/>
              <w:szCs w:val="24"/>
              <w14:ligatures w14:val="standardContextual"/>
            </w:rPr>
            <w:tab/>
          </w:r>
          <w:r>
            <w:rPr>
              <w:noProof/>
            </w:rPr>
            <w:t>Background on Dominion’s EE PIMs</w:t>
          </w:r>
          <w:r>
            <w:rPr>
              <w:noProof/>
            </w:rPr>
            <w:tab/>
          </w:r>
          <w:r>
            <w:rPr>
              <w:noProof/>
            </w:rPr>
            <w:fldChar w:fldCharType="begin"/>
          </w:r>
          <w:r>
            <w:rPr>
              <w:noProof/>
            </w:rPr>
            <w:instrText xml:space="preserve"> PAGEREF _Toc194415765 \h </w:instrText>
          </w:r>
          <w:r>
            <w:rPr>
              <w:noProof/>
            </w:rPr>
          </w:r>
          <w:r>
            <w:rPr>
              <w:noProof/>
            </w:rPr>
            <w:fldChar w:fldCharType="separate"/>
          </w:r>
          <w:r>
            <w:rPr>
              <w:noProof/>
            </w:rPr>
            <w:t>5</w:t>
          </w:r>
          <w:r>
            <w:rPr>
              <w:noProof/>
            </w:rPr>
            <w:fldChar w:fldCharType="end"/>
          </w:r>
        </w:p>
        <w:p w14:paraId="1C1291CE" w14:textId="72E025CC" w:rsidR="001B614A" w:rsidRDefault="001B614A">
          <w:pPr>
            <w:pStyle w:val="TOC2"/>
            <w:rPr>
              <w:rFonts w:asciiTheme="minorHAnsi" w:eastAsiaTheme="minorEastAsia" w:hAnsiTheme="minorHAnsi"/>
              <w:b w:val="0"/>
              <w:noProof/>
              <w:kern w:val="2"/>
              <w:sz w:val="24"/>
              <w:szCs w:val="24"/>
              <w14:ligatures w14:val="standardContextual"/>
            </w:rPr>
          </w:pPr>
          <w:r>
            <w:rPr>
              <w:noProof/>
            </w:rPr>
            <w:t>3.2.</w:t>
          </w:r>
          <w:r>
            <w:rPr>
              <w:rFonts w:asciiTheme="minorHAnsi" w:eastAsiaTheme="minorEastAsia" w:hAnsiTheme="minorHAnsi"/>
              <w:b w:val="0"/>
              <w:noProof/>
              <w:kern w:val="2"/>
              <w:sz w:val="24"/>
              <w:szCs w:val="24"/>
              <w14:ligatures w14:val="standardContextual"/>
            </w:rPr>
            <w:tab/>
          </w:r>
          <w:r>
            <w:rPr>
              <w:noProof/>
            </w:rPr>
            <w:t>Diagnosing Dominion’s Failure to Earn EE Incentives</w:t>
          </w:r>
          <w:r>
            <w:rPr>
              <w:noProof/>
            </w:rPr>
            <w:tab/>
          </w:r>
          <w:r>
            <w:rPr>
              <w:noProof/>
            </w:rPr>
            <w:fldChar w:fldCharType="begin"/>
          </w:r>
          <w:r>
            <w:rPr>
              <w:noProof/>
            </w:rPr>
            <w:instrText xml:space="preserve"> PAGEREF _Toc194415766 \h </w:instrText>
          </w:r>
          <w:r>
            <w:rPr>
              <w:noProof/>
            </w:rPr>
          </w:r>
          <w:r>
            <w:rPr>
              <w:noProof/>
            </w:rPr>
            <w:fldChar w:fldCharType="separate"/>
          </w:r>
          <w:r>
            <w:rPr>
              <w:noProof/>
            </w:rPr>
            <w:t>5</w:t>
          </w:r>
          <w:r>
            <w:rPr>
              <w:noProof/>
            </w:rPr>
            <w:fldChar w:fldCharType="end"/>
          </w:r>
        </w:p>
        <w:p w14:paraId="0F7048C2" w14:textId="06995230" w:rsidR="001B614A" w:rsidRDefault="001B614A">
          <w:pPr>
            <w:pStyle w:val="TOC2"/>
            <w:rPr>
              <w:rFonts w:asciiTheme="minorHAnsi" w:eastAsiaTheme="minorEastAsia" w:hAnsiTheme="minorHAnsi"/>
              <w:b w:val="0"/>
              <w:noProof/>
              <w:kern w:val="2"/>
              <w:sz w:val="24"/>
              <w:szCs w:val="24"/>
              <w14:ligatures w14:val="standardContextual"/>
            </w:rPr>
          </w:pPr>
          <w:r>
            <w:rPr>
              <w:noProof/>
            </w:rPr>
            <w:t>3.3.</w:t>
          </w:r>
          <w:r>
            <w:rPr>
              <w:rFonts w:asciiTheme="minorHAnsi" w:eastAsiaTheme="minorEastAsia" w:hAnsiTheme="minorHAnsi"/>
              <w:b w:val="0"/>
              <w:noProof/>
              <w:kern w:val="2"/>
              <w:sz w:val="24"/>
              <w:szCs w:val="24"/>
              <w14:ligatures w14:val="standardContextual"/>
            </w:rPr>
            <w:tab/>
          </w:r>
          <w:r>
            <w:rPr>
              <w:noProof/>
            </w:rPr>
            <w:t>Lessons for Future EE Incentive Design</w:t>
          </w:r>
          <w:r>
            <w:rPr>
              <w:noProof/>
            </w:rPr>
            <w:tab/>
          </w:r>
          <w:r>
            <w:rPr>
              <w:noProof/>
            </w:rPr>
            <w:fldChar w:fldCharType="begin"/>
          </w:r>
          <w:r>
            <w:rPr>
              <w:noProof/>
            </w:rPr>
            <w:instrText xml:space="preserve"> PAGEREF _Toc194415767 \h </w:instrText>
          </w:r>
          <w:r>
            <w:rPr>
              <w:noProof/>
            </w:rPr>
          </w:r>
          <w:r>
            <w:rPr>
              <w:noProof/>
            </w:rPr>
            <w:fldChar w:fldCharType="separate"/>
          </w:r>
          <w:r>
            <w:rPr>
              <w:noProof/>
            </w:rPr>
            <w:t>7</w:t>
          </w:r>
          <w:r>
            <w:rPr>
              <w:noProof/>
            </w:rPr>
            <w:fldChar w:fldCharType="end"/>
          </w:r>
        </w:p>
        <w:p w14:paraId="61A3E170" w14:textId="65888B0F" w:rsidR="001B614A" w:rsidRDefault="001B614A">
          <w:pPr>
            <w:pStyle w:val="TOC1"/>
            <w:rPr>
              <w:rFonts w:asciiTheme="minorHAnsi" w:eastAsiaTheme="minorEastAsia" w:hAnsiTheme="minorHAnsi" w:cstheme="minorBidi"/>
              <w:b w:val="0"/>
              <w:smallCaps w:val="0"/>
              <w:kern w:val="2"/>
              <w:sz w:val="24"/>
              <w:szCs w:val="24"/>
              <w14:ligatures w14:val="standardContextual"/>
            </w:rPr>
          </w:pPr>
          <w:r>
            <w:t>4.</w:t>
          </w:r>
          <w:r>
            <w:rPr>
              <w:rFonts w:asciiTheme="minorHAnsi" w:eastAsiaTheme="minorEastAsia" w:hAnsiTheme="minorHAnsi" w:cstheme="minorBidi"/>
              <w:b w:val="0"/>
              <w:smallCaps w:val="0"/>
              <w:kern w:val="2"/>
              <w:sz w:val="24"/>
              <w:szCs w:val="24"/>
              <w14:ligatures w14:val="standardContextual"/>
            </w:rPr>
            <w:tab/>
          </w:r>
          <w:r>
            <w:t>General Guidance for Coordinating PIMs and ROE</w:t>
          </w:r>
          <w:r>
            <w:tab/>
          </w:r>
          <w:r>
            <w:fldChar w:fldCharType="begin"/>
          </w:r>
          <w:r>
            <w:instrText xml:space="preserve"> PAGEREF _Toc194415768 \h </w:instrText>
          </w:r>
          <w:r>
            <w:fldChar w:fldCharType="separate"/>
          </w:r>
          <w:r>
            <w:t>8</w:t>
          </w:r>
          <w:r>
            <w:fldChar w:fldCharType="end"/>
          </w:r>
        </w:p>
        <w:p w14:paraId="670C70E8" w14:textId="5B22E62B" w:rsidR="001B614A" w:rsidRDefault="001B614A">
          <w:pPr>
            <w:pStyle w:val="TOC2"/>
            <w:rPr>
              <w:rFonts w:asciiTheme="minorHAnsi" w:eastAsiaTheme="minorEastAsia" w:hAnsiTheme="minorHAnsi"/>
              <w:b w:val="0"/>
              <w:noProof/>
              <w:kern w:val="2"/>
              <w:sz w:val="24"/>
              <w:szCs w:val="24"/>
              <w14:ligatures w14:val="standardContextual"/>
            </w:rPr>
          </w:pPr>
          <w:r>
            <w:rPr>
              <w:noProof/>
            </w:rPr>
            <w:t>4.1.</w:t>
          </w:r>
          <w:r>
            <w:rPr>
              <w:rFonts w:asciiTheme="minorHAnsi" w:eastAsiaTheme="minorEastAsia" w:hAnsiTheme="minorHAnsi"/>
              <w:b w:val="0"/>
              <w:noProof/>
              <w:kern w:val="2"/>
              <w:sz w:val="24"/>
              <w:szCs w:val="24"/>
              <w14:ligatures w14:val="standardContextual"/>
            </w:rPr>
            <w:tab/>
          </w:r>
          <w:r>
            <w:rPr>
              <w:noProof/>
            </w:rPr>
            <w:t>Calibrating the ROE and PIMs</w:t>
          </w:r>
          <w:r>
            <w:rPr>
              <w:noProof/>
            </w:rPr>
            <w:tab/>
          </w:r>
          <w:r>
            <w:rPr>
              <w:noProof/>
            </w:rPr>
            <w:fldChar w:fldCharType="begin"/>
          </w:r>
          <w:r>
            <w:rPr>
              <w:noProof/>
            </w:rPr>
            <w:instrText xml:space="preserve"> PAGEREF _Toc194415769 \h </w:instrText>
          </w:r>
          <w:r>
            <w:rPr>
              <w:noProof/>
            </w:rPr>
          </w:r>
          <w:r>
            <w:rPr>
              <w:noProof/>
            </w:rPr>
            <w:fldChar w:fldCharType="separate"/>
          </w:r>
          <w:r>
            <w:rPr>
              <w:noProof/>
            </w:rPr>
            <w:t>8</w:t>
          </w:r>
          <w:r>
            <w:rPr>
              <w:noProof/>
            </w:rPr>
            <w:fldChar w:fldCharType="end"/>
          </w:r>
        </w:p>
        <w:p w14:paraId="635471B6" w14:textId="2075A750" w:rsidR="001B614A" w:rsidRDefault="001B614A">
          <w:pPr>
            <w:pStyle w:val="TOC2"/>
            <w:rPr>
              <w:rFonts w:asciiTheme="minorHAnsi" w:eastAsiaTheme="minorEastAsia" w:hAnsiTheme="minorHAnsi"/>
              <w:b w:val="0"/>
              <w:noProof/>
              <w:kern w:val="2"/>
              <w:sz w:val="24"/>
              <w:szCs w:val="24"/>
              <w14:ligatures w14:val="standardContextual"/>
            </w:rPr>
          </w:pPr>
          <w:r>
            <w:rPr>
              <w:noProof/>
            </w:rPr>
            <w:t>4.2.</w:t>
          </w:r>
          <w:r>
            <w:rPr>
              <w:rFonts w:asciiTheme="minorHAnsi" w:eastAsiaTheme="minorEastAsia" w:hAnsiTheme="minorHAnsi"/>
              <w:b w:val="0"/>
              <w:noProof/>
              <w:kern w:val="2"/>
              <w:sz w:val="24"/>
              <w:szCs w:val="24"/>
              <w14:ligatures w14:val="standardContextual"/>
            </w:rPr>
            <w:tab/>
          </w:r>
          <w:r>
            <w:rPr>
              <w:noProof/>
            </w:rPr>
            <w:t>Considering Other Incentive Structures and Complementary Solutions</w:t>
          </w:r>
          <w:r>
            <w:rPr>
              <w:noProof/>
            </w:rPr>
            <w:tab/>
          </w:r>
          <w:r>
            <w:rPr>
              <w:noProof/>
            </w:rPr>
            <w:fldChar w:fldCharType="begin"/>
          </w:r>
          <w:r>
            <w:rPr>
              <w:noProof/>
            </w:rPr>
            <w:instrText xml:space="preserve"> PAGEREF _Toc194415770 \h </w:instrText>
          </w:r>
          <w:r>
            <w:rPr>
              <w:noProof/>
            </w:rPr>
          </w:r>
          <w:r>
            <w:rPr>
              <w:noProof/>
            </w:rPr>
            <w:fldChar w:fldCharType="separate"/>
          </w:r>
          <w:r>
            <w:rPr>
              <w:noProof/>
            </w:rPr>
            <w:t>9</w:t>
          </w:r>
          <w:r>
            <w:rPr>
              <w:noProof/>
            </w:rPr>
            <w:fldChar w:fldCharType="end"/>
          </w:r>
        </w:p>
        <w:p w14:paraId="399B2F81" w14:textId="769EA318" w:rsidR="001B614A" w:rsidRDefault="001B614A">
          <w:pPr>
            <w:pStyle w:val="TOC2"/>
            <w:rPr>
              <w:rFonts w:asciiTheme="minorHAnsi" w:eastAsiaTheme="minorEastAsia" w:hAnsiTheme="minorHAnsi"/>
              <w:b w:val="0"/>
              <w:noProof/>
              <w:kern w:val="2"/>
              <w:sz w:val="24"/>
              <w:szCs w:val="24"/>
              <w14:ligatures w14:val="standardContextual"/>
            </w:rPr>
          </w:pPr>
          <w:r>
            <w:rPr>
              <w:noProof/>
            </w:rPr>
            <w:t>4.3.</w:t>
          </w:r>
          <w:r>
            <w:rPr>
              <w:rFonts w:asciiTheme="minorHAnsi" w:eastAsiaTheme="minorEastAsia" w:hAnsiTheme="minorHAnsi"/>
              <w:b w:val="0"/>
              <w:noProof/>
              <w:kern w:val="2"/>
              <w:sz w:val="24"/>
              <w:szCs w:val="24"/>
              <w14:ligatures w14:val="standardContextual"/>
            </w:rPr>
            <w:tab/>
          </w:r>
          <w:r>
            <w:rPr>
              <w:noProof/>
            </w:rPr>
            <w:t>Including Penalties and Calibrating Targets</w:t>
          </w:r>
          <w:r>
            <w:rPr>
              <w:noProof/>
            </w:rPr>
            <w:tab/>
          </w:r>
          <w:r>
            <w:rPr>
              <w:noProof/>
            </w:rPr>
            <w:fldChar w:fldCharType="begin"/>
          </w:r>
          <w:r>
            <w:rPr>
              <w:noProof/>
            </w:rPr>
            <w:instrText xml:space="preserve"> PAGEREF _Toc194415771 \h </w:instrText>
          </w:r>
          <w:r>
            <w:rPr>
              <w:noProof/>
            </w:rPr>
          </w:r>
          <w:r>
            <w:rPr>
              <w:noProof/>
            </w:rPr>
            <w:fldChar w:fldCharType="separate"/>
          </w:r>
          <w:r>
            <w:rPr>
              <w:noProof/>
            </w:rPr>
            <w:t>9</w:t>
          </w:r>
          <w:r>
            <w:rPr>
              <w:noProof/>
            </w:rPr>
            <w:fldChar w:fldCharType="end"/>
          </w:r>
        </w:p>
        <w:p w14:paraId="42368E78" w14:textId="117A4048" w:rsidR="00AB4DDD" w:rsidRDefault="00306057" w:rsidP="005430F6">
          <w:pPr>
            <w:sectPr w:rsidR="00AB4DDD" w:rsidSect="00F4779C">
              <w:headerReference w:type="even" r:id="rId17"/>
              <w:headerReference w:type="default" r:id="rId18"/>
              <w:headerReference w:type="first" r:id="rId19"/>
              <w:footerReference w:type="first" r:id="rId20"/>
              <w:type w:val="continuous"/>
              <w:pgSz w:w="12240" w:h="15840"/>
              <w:pgMar w:top="1440" w:right="1440" w:bottom="1440" w:left="1440" w:header="720" w:footer="720" w:gutter="0"/>
              <w:pgNumType w:start="0"/>
              <w:cols w:space="720"/>
              <w:titlePg/>
              <w:docGrid w:linePitch="360"/>
            </w:sectPr>
          </w:pPr>
          <w:r>
            <w:rPr>
              <w:rFonts w:cs="Arial"/>
              <w:b/>
              <w:smallCaps/>
              <w:noProof/>
              <w:sz w:val="28"/>
              <w:szCs w:val="28"/>
            </w:rPr>
            <w:fldChar w:fldCharType="end"/>
          </w:r>
        </w:p>
      </w:sdtContent>
    </w:sdt>
    <w:p w14:paraId="6A84CE5F" w14:textId="5E551745" w:rsidR="00F65FF9" w:rsidRDefault="00A22D83" w:rsidP="00C91147">
      <w:pPr>
        <w:pStyle w:val="Heading1"/>
      </w:pPr>
      <w:bookmarkStart w:id="1" w:name="_Toc194415759"/>
      <w:bookmarkStart w:id="2" w:name="_Toc333491935"/>
      <w:r>
        <w:lastRenderedPageBreak/>
        <w:t>Introduction</w:t>
      </w:r>
      <w:bookmarkEnd w:id="1"/>
    </w:p>
    <w:bookmarkEnd w:id="0"/>
    <w:bookmarkEnd w:id="2"/>
    <w:p w14:paraId="679A801C" w14:textId="64A862E9" w:rsidR="00A244D2" w:rsidRDefault="00A244D2" w:rsidP="00A244D2">
      <w:pPr>
        <w:spacing w:after="0" w:line="259" w:lineRule="auto"/>
        <w:contextualSpacing/>
      </w:pPr>
      <w:r>
        <w:t xml:space="preserve">In 2023, the Virginia state legislature enacted legislation that authorized the State Corporations Commission (SCC or Commission) to adjust </w:t>
      </w:r>
      <w:r w:rsidR="001B7B13">
        <w:t xml:space="preserve">authorized </w:t>
      </w:r>
      <w:r>
        <w:t>utility rates of return</w:t>
      </w:r>
      <w:r w:rsidR="000B4CE9">
        <w:t xml:space="preserve"> on common equity</w:t>
      </w:r>
      <w:r>
        <w:t xml:space="preserve"> (ROE) according to performance criteria. Among other things, this law allowed the SCC to adjust ROE by up to 50 basis points (bps) based upon a range of performance factors, including reliability, generator performance, customer service, and utility operating efficiency. The legislation also established a procedure for biennial rate reviews</w:t>
      </w:r>
      <w:r w:rsidR="001B7B13">
        <w:t xml:space="preserve"> – the setting</w:t>
      </w:r>
      <w:r>
        <w:t xml:space="preserve"> in which ROE adjustments for performance </w:t>
      </w:r>
      <w:r w:rsidR="000B4CE9">
        <w:t>would</w:t>
      </w:r>
      <w:r w:rsidR="001B7B13">
        <w:t xml:space="preserve"> </w:t>
      </w:r>
      <w:r>
        <w:t xml:space="preserve"> </w:t>
      </w:r>
      <w:r w:rsidR="001B7B13">
        <w:t>occur</w:t>
      </w:r>
      <w:r>
        <w:t xml:space="preserve">. </w:t>
      </w:r>
    </w:p>
    <w:p w14:paraId="17BBC7E2" w14:textId="77777777" w:rsidR="000B4CE9" w:rsidRDefault="000B4CE9" w:rsidP="00A244D2">
      <w:pPr>
        <w:spacing w:after="0" w:line="259" w:lineRule="auto"/>
        <w:contextualSpacing/>
        <w:rPr>
          <w:highlight w:val="yellow"/>
        </w:rPr>
      </w:pPr>
    </w:p>
    <w:p w14:paraId="0E086755" w14:textId="5EC70C75" w:rsidR="000B5BFC" w:rsidRDefault="00AB1440" w:rsidP="00F91143">
      <w:pPr>
        <w:spacing w:after="0" w:line="259" w:lineRule="auto"/>
        <w:contextualSpacing/>
      </w:pPr>
      <w:r>
        <w:t>A</w:t>
      </w:r>
      <w:r w:rsidR="00F54A7E">
        <w:t xml:space="preserve">djustments </w:t>
      </w:r>
      <w:r>
        <w:t xml:space="preserve">to ROE for utility performance </w:t>
      </w:r>
      <w:r w:rsidR="00F54A7E">
        <w:t>are typically referred to as</w:t>
      </w:r>
      <w:r w:rsidR="000B4CE9" w:rsidRPr="000B4CE9">
        <w:t xml:space="preserve"> performance incentive mechanisms </w:t>
      </w:r>
      <w:r w:rsidR="00F54A7E">
        <w:t>(PIMs)</w:t>
      </w:r>
      <w:r w:rsidR="000B4CE9" w:rsidRPr="000B4CE9">
        <w:t>.</w:t>
      </w:r>
      <w:r w:rsidR="000B4CE9">
        <w:t xml:space="preserve"> </w:t>
      </w:r>
      <w:r w:rsidR="000B5BFC">
        <w:t xml:space="preserve">This paper focuses on how </w:t>
      </w:r>
      <w:r w:rsidR="00F54A7E">
        <w:t xml:space="preserve">PIMs </w:t>
      </w:r>
      <w:r w:rsidR="000B5BFC">
        <w:t xml:space="preserve">should be set and the need to </w:t>
      </w:r>
      <w:r w:rsidR="00F54A7E">
        <w:t xml:space="preserve">calibrate the ROE to </w:t>
      </w:r>
      <w:proofErr w:type="gramStart"/>
      <w:r w:rsidR="00F54A7E">
        <w:t>take into account</w:t>
      </w:r>
      <w:proofErr w:type="gramEnd"/>
      <w:r w:rsidR="00F54A7E">
        <w:t xml:space="preserve"> potential earnings from PIMs</w:t>
      </w:r>
      <w:r w:rsidR="000B5BFC">
        <w:t xml:space="preserve">. While jurisdictions do not always approach utility incentive mechanisms with an integrated view, </w:t>
      </w:r>
      <w:r w:rsidR="00F54A7E">
        <w:t>we believe that</w:t>
      </w:r>
      <w:r w:rsidR="000B4CE9">
        <w:t xml:space="preserve"> it is imperative to</w:t>
      </w:r>
      <w:r w:rsidR="000B5BFC">
        <w:t xml:space="preserve"> consider PIMs alongside ROE to</w:t>
      </w:r>
      <w:r w:rsidR="000B4CE9">
        <w:t xml:space="preserve"> </w:t>
      </w:r>
      <w:r w:rsidR="00F54A7E">
        <w:t>ensure that utilities</w:t>
      </w:r>
      <w:r>
        <w:t xml:space="preserve"> have the appropriate motivation to pursue actions in the public interest</w:t>
      </w:r>
      <w:r w:rsidR="000B5BFC">
        <w:t xml:space="preserve">. </w:t>
      </w:r>
      <w:r w:rsidR="003371B6">
        <w:t>In this paper, w</w:t>
      </w:r>
      <w:r w:rsidR="000B5BFC">
        <w:t xml:space="preserve">e </w:t>
      </w:r>
      <w:r>
        <w:t xml:space="preserve">also discuss </w:t>
      </w:r>
      <w:r w:rsidR="000B5BFC">
        <w:t xml:space="preserve">the mixed record of energy efficiency incentives in Virginia and </w:t>
      </w:r>
      <w:r w:rsidR="003371B6">
        <w:t>provide</w:t>
      </w:r>
      <w:r w:rsidR="000B5BFC">
        <w:t xml:space="preserve"> recommendations for future PIM design. </w:t>
      </w:r>
    </w:p>
    <w:p w14:paraId="659DB8E1" w14:textId="6184C1A6" w:rsidR="00F91143" w:rsidRDefault="00F91143" w:rsidP="00A244D2">
      <w:pPr>
        <w:pStyle w:val="Heading1"/>
      </w:pPr>
      <w:bookmarkStart w:id="3" w:name="_Toc194415760"/>
      <w:r>
        <w:t>PIMs</w:t>
      </w:r>
      <w:r w:rsidR="000B5BFC">
        <w:t xml:space="preserve"> Interactions with </w:t>
      </w:r>
      <w:r>
        <w:t>Other</w:t>
      </w:r>
      <w:r w:rsidR="00FE2FF6">
        <w:t xml:space="preserve"> Utility Financial Incentives</w:t>
      </w:r>
      <w:bookmarkEnd w:id="3"/>
      <w:r w:rsidR="000B5BFC">
        <w:t xml:space="preserve"> </w:t>
      </w:r>
    </w:p>
    <w:p w14:paraId="3BC4DD01" w14:textId="33DDE939" w:rsidR="00CF3F5F" w:rsidRDefault="00A244D2" w:rsidP="00A244D2">
      <w:r>
        <w:t>The goal of PIMs is to induce desirable changes i</w:t>
      </w:r>
      <w:r w:rsidR="00F91143">
        <w:t>n</w:t>
      </w:r>
      <w:r>
        <w:t xml:space="preserve"> utility </w:t>
      </w:r>
      <w:r w:rsidR="00F91143">
        <w:t>behavior that would not otherwise occur</w:t>
      </w:r>
      <w:r>
        <w:t>.</w:t>
      </w:r>
      <w:r w:rsidR="00F91143">
        <w:t xml:space="preserve"> </w:t>
      </w:r>
      <w:r w:rsidR="00F15D25">
        <w:t xml:space="preserve">However, PIMs cannot be viewed in isolation; they must be understood in the wider context of incentives affecting utility behavior. For </w:t>
      </w:r>
      <w:r w:rsidR="000B4CE9">
        <w:t>an</w:t>
      </w:r>
      <w:r w:rsidR="00F15D25">
        <w:t xml:space="preserve"> investor-owned utility seeking to maximize profits, the main financial incentive comes from the return on rate base</w:t>
      </w:r>
      <w:r w:rsidR="000B4CE9">
        <w:t>. U</w:t>
      </w:r>
      <w:r w:rsidR="00F15D25">
        <w:t>tilities</w:t>
      </w:r>
      <w:r w:rsidR="00CF3F5F">
        <w:t xml:space="preserve"> </w:t>
      </w:r>
      <w:r w:rsidR="000B4CE9">
        <w:t>therefore</w:t>
      </w:r>
      <w:r w:rsidR="00CF3F5F">
        <w:t xml:space="preserve"> </w:t>
      </w:r>
      <w:r w:rsidR="00F15D25">
        <w:t>seek to increase both ROE and capital investment</w:t>
      </w:r>
      <w:r w:rsidR="00CF3F5F">
        <w:t xml:space="preserve"> in order to maximize profits</w:t>
      </w:r>
      <w:r w:rsidR="00F15D25">
        <w:t>.</w:t>
      </w:r>
      <w:r w:rsidR="000B4CE9">
        <w:t xml:space="preserve"> The latter effect is often referred to as </w:t>
      </w:r>
      <w:r w:rsidR="00B17A8B">
        <w:t xml:space="preserve">a </w:t>
      </w:r>
      <w:r w:rsidR="000B4CE9">
        <w:t>utility’s “capital bias.”</w:t>
      </w:r>
      <w:r w:rsidR="00F15D25">
        <w:t xml:space="preserve"> Depending on how PIMs are designed, and which outcomes are targeted, </w:t>
      </w:r>
      <w:r w:rsidR="00CF3F5F">
        <w:t>PIMs</w:t>
      </w:r>
      <w:r w:rsidR="00F15D25">
        <w:t xml:space="preserve"> may either amplify or </w:t>
      </w:r>
      <w:r w:rsidR="00CF3F5F">
        <w:t>conflict with the utility’s</w:t>
      </w:r>
      <w:r w:rsidR="00F15D25">
        <w:t xml:space="preserve"> </w:t>
      </w:r>
      <w:r w:rsidR="00CF3F5F">
        <w:t>existing financial incentive structure, in turn suggesting two design challenges:</w:t>
      </w:r>
      <w:r w:rsidR="000B4CE9">
        <w:t xml:space="preserve"> On the one hand,</w:t>
      </w:r>
      <w:r w:rsidR="00CF3F5F">
        <w:t xml:space="preserve"> PIMs may exacerbate capital bias</w:t>
      </w:r>
      <w:r w:rsidR="000B4CE9">
        <w:t>; on the other hand, PIMs</w:t>
      </w:r>
      <w:r w:rsidR="00CF3F5F">
        <w:t xml:space="preserve"> </w:t>
      </w:r>
      <w:r w:rsidR="00B17A8B">
        <w:t xml:space="preserve">may </w:t>
      </w:r>
      <w:r w:rsidR="00CF3F5F">
        <w:t xml:space="preserve">be insufficiently large to catch the utility’s attention or </w:t>
      </w:r>
      <w:r w:rsidR="000B4CE9">
        <w:t xml:space="preserve">to </w:t>
      </w:r>
      <w:r w:rsidR="00CF3F5F">
        <w:t>counter existing financial incentives acting in opposition. These two challenges are discussed in more detail in the following sections.</w:t>
      </w:r>
    </w:p>
    <w:p w14:paraId="741AC8DA" w14:textId="1AFAC89B" w:rsidR="00A244D2" w:rsidRPr="00C628D6" w:rsidRDefault="00CF3F5F" w:rsidP="00A244D2">
      <w:r>
        <w:t xml:space="preserve">As a preliminary matter, it is important to define when PIMs </w:t>
      </w:r>
      <w:r w:rsidR="000B4CE9">
        <w:t xml:space="preserve">are </w:t>
      </w:r>
      <w:r>
        <w:t xml:space="preserve">appropriate. </w:t>
      </w:r>
      <w:r w:rsidR="000E36A6">
        <w:t xml:space="preserve">Financial rewards </w:t>
      </w:r>
      <w:r>
        <w:t xml:space="preserve">should </w:t>
      </w:r>
      <w:r w:rsidRPr="000B4CE9">
        <w:t>not</w:t>
      </w:r>
      <w:r>
        <w:t xml:space="preserve"> be deployed to reward a company for actions that it is already taking or planning to take. Rather, </w:t>
      </w:r>
      <w:r w:rsidR="004511FD">
        <w:t>financial rewards are appropriate when a utility lacks a financial incentive to pursue a certain action.</w:t>
      </w:r>
      <w:r w:rsidR="00DA6B82">
        <w:t xml:space="preserve"> </w:t>
      </w:r>
      <w:r w:rsidR="00F15D25">
        <w:t xml:space="preserve">For example, </w:t>
      </w:r>
      <w:r w:rsidR="00A244D2">
        <w:t xml:space="preserve">PIMs may be deployed to encourage a utility to seek generation efficiencies when fuel costs are passed through to customers </w:t>
      </w:r>
      <w:r w:rsidR="00F15D25">
        <w:t>(to address a lack of financial incentives</w:t>
      </w:r>
      <w:r w:rsidR="004511FD">
        <w:t xml:space="preserve"> to operate its units efficiently</w:t>
      </w:r>
      <w:r w:rsidR="00F15D25">
        <w:t>)</w:t>
      </w:r>
      <w:r w:rsidR="00A244D2">
        <w:t xml:space="preserve">. </w:t>
      </w:r>
      <w:r w:rsidR="00F15D25">
        <w:t>As another example</w:t>
      </w:r>
      <w:r w:rsidR="00A244D2">
        <w:t xml:space="preserve">, PIMs can be designed to encourage non-wires alternative solutions that avoid or </w:t>
      </w:r>
      <w:r w:rsidR="00A244D2">
        <w:lastRenderedPageBreak/>
        <w:t>defer utility capital investments (</w:t>
      </w:r>
      <w:r w:rsidR="00F15D25">
        <w:t>to address a financial disincentive</w:t>
      </w:r>
      <w:r w:rsidR="004511FD">
        <w:t xml:space="preserve"> where the utility would forego a capital investment and the associated return on that investment if it implemented a non-wires alternative</w:t>
      </w:r>
      <w:r w:rsidR="00A244D2">
        <w:t xml:space="preserve">). </w:t>
      </w:r>
    </w:p>
    <w:p w14:paraId="48A106ED" w14:textId="43FFE06C" w:rsidR="0007201D" w:rsidRPr="00066C94" w:rsidRDefault="008F0CE5" w:rsidP="0007201D">
      <w:pPr>
        <w:pStyle w:val="Heading2"/>
        <w:ind w:left="720" w:hanging="720"/>
      </w:pPr>
      <w:bookmarkStart w:id="4" w:name="_Toc194415761"/>
      <w:r w:rsidRPr="00066C94">
        <w:t xml:space="preserve">PIMs </w:t>
      </w:r>
      <w:r w:rsidR="00F15D25" w:rsidRPr="00066C94">
        <w:t xml:space="preserve">may </w:t>
      </w:r>
      <w:r w:rsidRPr="00066C94">
        <w:t>Exacerbat</w:t>
      </w:r>
      <w:r w:rsidR="00F15D25" w:rsidRPr="00066C94">
        <w:t>e</w:t>
      </w:r>
      <w:r w:rsidRPr="00066C94">
        <w:t xml:space="preserve"> Capital Bias</w:t>
      </w:r>
      <w:r w:rsidR="0007201D" w:rsidRPr="00066C94">
        <w:t xml:space="preserve"> </w:t>
      </w:r>
      <w:r w:rsidR="0060167A">
        <w:t>(PIM Design Challenge #1)</w:t>
      </w:r>
      <w:bookmarkEnd w:id="4"/>
    </w:p>
    <w:p w14:paraId="12AD9D63" w14:textId="0534D782" w:rsidR="00A632C2" w:rsidRDefault="00A632C2" w:rsidP="00103FB6">
      <w:r>
        <w:t>As discussed above, PIM</w:t>
      </w:r>
      <w:r w:rsidR="00CF3F5F">
        <w:t xml:space="preserve">s can exacerbate capital bias by increasing </w:t>
      </w:r>
      <w:r w:rsidR="004511FD">
        <w:t xml:space="preserve">the utility’s </w:t>
      </w:r>
      <w:r w:rsidR="00CF3F5F">
        <w:t>ROE</w:t>
      </w:r>
      <w:r w:rsidR="00976839">
        <w:t xml:space="preserve"> </w:t>
      </w:r>
      <w:r w:rsidR="00B17A8B">
        <w:t>and encouraging it to</w:t>
      </w:r>
      <w:r w:rsidR="00976839">
        <w:t xml:space="preserve"> increas</w:t>
      </w:r>
      <w:r w:rsidR="00B17A8B">
        <w:t>e</w:t>
      </w:r>
      <w:r w:rsidR="00976839">
        <w:t xml:space="preserve"> </w:t>
      </w:r>
      <w:r w:rsidR="00B17A8B">
        <w:t>its</w:t>
      </w:r>
      <w:r w:rsidR="00976839">
        <w:t xml:space="preserve"> rate base (upon which the utility earns a return)</w:t>
      </w:r>
      <w:r w:rsidR="00CF3F5F">
        <w:t xml:space="preserve">. </w:t>
      </w:r>
      <w:r w:rsidR="005E2C54">
        <w:t xml:space="preserve">This issue is discussed in the following sections. </w:t>
      </w:r>
    </w:p>
    <w:p w14:paraId="7A2AE47F" w14:textId="2FA1F257" w:rsidR="00ED7CF2" w:rsidRDefault="00ED7CF2" w:rsidP="00ED7CF2">
      <w:pPr>
        <w:pStyle w:val="Heading3"/>
      </w:pPr>
      <w:r>
        <w:t>Rate of Return and Capital Bias</w:t>
      </w:r>
    </w:p>
    <w:p w14:paraId="3E1F9B46" w14:textId="39B5CFA0" w:rsidR="00716A22" w:rsidRDefault="005E2C54" w:rsidP="00684BD8">
      <w:r>
        <w:t xml:space="preserve">Utilities are susceptible to capital bias </w:t>
      </w:r>
      <w:r w:rsidR="00976839">
        <w:t xml:space="preserve">because </w:t>
      </w:r>
      <w:r>
        <w:t>earnings are</w:t>
      </w:r>
      <w:r w:rsidR="00976839">
        <w:t xml:space="preserve"> largely</w:t>
      </w:r>
      <w:r>
        <w:t xml:space="preserve"> a function of capital investment. This issue is </w:t>
      </w:r>
      <w:r w:rsidR="00976839">
        <w:t>particularly</w:t>
      </w:r>
      <w:r w:rsidR="00CF3F5F">
        <w:t xml:space="preserve"> </w:t>
      </w:r>
      <w:r w:rsidR="00976839">
        <w:t xml:space="preserve">apparent </w:t>
      </w:r>
      <w:r w:rsidR="00CF3F5F">
        <w:t>under a</w:t>
      </w:r>
      <w:r w:rsidR="00A632C2">
        <w:t xml:space="preserve"> traditional cost-of-service regulatory framework.</w:t>
      </w:r>
      <w:r w:rsidR="00153698">
        <w:t xml:space="preserve"> </w:t>
      </w:r>
      <w:r w:rsidR="00CF3F5F">
        <w:t>Under cost-of-service regulation</w:t>
      </w:r>
      <w:r w:rsidR="00153698">
        <w:t xml:space="preserve"> –</w:t>
      </w:r>
      <w:r w:rsidR="00CF3F5F">
        <w:t>to which</w:t>
      </w:r>
      <w:r w:rsidR="00153698">
        <w:t xml:space="preserve"> both Dominion and APCo</w:t>
      </w:r>
      <w:r w:rsidR="00CF3F5F">
        <w:t xml:space="preserve"> are subject</w:t>
      </w:r>
      <w:r w:rsidR="00153698">
        <w:t xml:space="preserve">– </w:t>
      </w:r>
      <w:r w:rsidR="00684BD8">
        <w:t>the utility revenue requirement is directly related to utility expenditures, with the utility earning</w:t>
      </w:r>
      <w:r w:rsidR="00CF3F5F">
        <w:t xml:space="preserve"> </w:t>
      </w:r>
      <w:r w:rsidR="00716A22">
        <w:t>a return</w:t>
      </w:r>
      <w:r w:rsidR="00103FB6" w:rsidRPr="00103FB6">
        <w:t xml:space="preserve"> on capital investments</w:t>
      </w:r>
      <w:r w:rsidR="00716A22">
        <w:t xml:space="preserve"> dictated by the ROE</w:t>
      </w:r>
      <w:r w:rsidR="00103FB6" w:rsidRPr="00103FB6">
        <w:t>. Under this structure, utilities are financially rewarded for increasing their rate base</w:t>
      </w:r>
      <w:r w:rsidR="00103FB6">
        <w:t xml:space="preserve"> </w:t>
      </w:r>
      <w:r w:rsidR="00382817">
        <w:t>(</w:t>
      </w:r>
      <w:r w:rsidR="00103FB6" w:rsidRPr="00103FB6">
        <w:t>the pool of capital assets like transmission lines, substations, and power plants</w:t>
      </w:r>
      <w:r w:rsidR="00382817">
        <w:t>)</w:t>
      </w:r>
      <w:r w:rsidR="0096237C">
        <w:t>,</w:t>
      </w:r>
      <w:r w:rsidR="00382817">
        <w:t xml:space="preserve"> </w:t>
      </w:r>
      <w:r w:rsidR="00103FB6" w:rsidRPr="00103FB6">
        <w:t xml:space="preserve">since </w:t>
      </w:r>
      <w:r w:rsidR="0096237C">
        <w:t>earnings</w:t>
      </w:r>
      <w:r w:rsidR="00103FB6" w:rsidRPr="00103FB6">
        <w:t xml:space="preserve"> are tied directly to the </w:t>
      </w:r>
      <w:r w:rsidR="0096237C">
        <w:t xml:space="preserve">total </w:t>
      </w:r>
      <w:r w:rsidR="00976839">
        <w:t>magnitude</w:t>
      </w:r>
      <w:r w:rsidR="00976839" w:rsidRPr="00103FB6">
        <w:t xml:space="preserve"> </w:t>
      </w:r>
      <w:r w:rsidR="00103FB6" w:rsidRPr="00103FB6">
        <w:t xml:space="preserve">of these </w:t>
      </w:r>
      <w:r w:rsidR="0096237C">
        <w:t xml:space="preserve">historical </w:t>
      </w:r>
      <w:r w:rsidR="00103FB6" w:rsidRPr="00103FB6">
        <w:t xml:space="preserve">investments. </w:t>
      </w:r>
      <w:r w:rsidR="00716A22">
        <w:t>Meanwhile</w:t>
      </w:r>
      <w:r w:rsidR="00103FB6" w:rsidRPr="00103FB6">
        <w:t xml:space="preserve">, operational expenses </w:t>
      </w:r>
      <w:r w:rsidR="00953C56">
        <w:t>including spending on</w:t>
      </w:r>
      <w:r w:rsidR="00953C56" w:rsidRPr="00103FB6">
        <w:t xml:space="preserve"> </w:t>
      </w:r>
      <w:r w:rsidR="00103FB6" w:rsidRPr="00103FB6">
        <w:t xml:space="preserve">energy efficiency programs </w:t>
      </w:r>
      <w:r w:rsidR="00953C56">
        <w:t>and</w:t>
      </w:r>
      <w:r w:rsidR="00953C56" w:rsidRPr="00103FB6">
        <w:t xml:space="preserve"> </w:t>
      </w:r>
      <w:r w:rsidR="00103FB6" w:rsidRPr="00103FB6">
        <w:t xml:space="preserve">demand response initiatives are </w:t>
      </w:r>
      <w:r w:rsidR="00953C56">
        <w:t>often</w:t>
      </w:r>
      <w:r w:rsidR="00953C56" w:rsidRPr="00103FB6">
        <w:t xml:space="preserve"> </w:t>
      </w:r>
      <w:r w:rsidR="00103FB6" w:rsidRPr="00103FB6">
        <w:t>recovered without a return, creating an asymmetry in incentives.</w:t>
      </w:r>
      <w:r w:rsidR="009F5387">
        <w:t xml:space="preserve"> Because </w:t>
      </w:r>
      <w:r w:rsidR="00D033B7">
        <w:t>programs that reduce</w:t>
      </w:r>
      <w:r w:rsidR="00B17A8B">
        <w:t xml:space="preserve"> sales also</w:t>
      </w:r>
      <w:r w:rsidR="00ED7CF2">
        <w:t xml:space="preserve"> tend to</w:t>
      </w:r>
      <w:r w:rsidR="00D033B7">
        <w:t xml:space="preserve"> </w:t>
      </w:r>
      <w:r w:rsidR="00ED7CF2">
        <w:t xml:space="preserve">reduce the need for future capital expenditure, </w:t>
      </w:r>
      <w:r w:rsidR="0096237C">
        <w:t>this asymmetry in incentives</w:t>
      </w:r>
      <w:r w:rsidR="00ED7CF2">
        <w:t xml:space="preserve"> </w:t>
      </w:r>
      <w:r w:rsidR="009F5387">
        <w:t>is</w:t>
      </w:r>
      <w:r w:rsidR="00ED7CF2">
        <w:t xml:space="preserve"> even greater.</w:t>
      </w:r>
      <w:r w:rsidR="00953C56">
        <w:rPr>
          <w:rStyle w:val="FootnoteReference"/>
        </w:rPr>
        <w:footnoteReference w:id="1"/>
      </w:r>
      <w:r w:rsidR="00ED7CF2">
        <w:t xml:space="preserve"> </w:t>
      </w:r>
    </w:p>
    <w:p w14:paraId="76BB2B6A" w14:textId="77367731" w:rsidR="00153698" w:rsidRDefault="00ED7CF2" w:rsidP="00ED7CF2">
      <w:r>
        <w:t xml:space="preserve">In theory, the degree to which a utility is financially incentivized to grow its rate base through additional capital investment is a function of the difference between its allowed ROE and its cost of capital. Where </w:t>
      </w:r>
      <w:r w:rsidR="009F31BB">
        <w:t xml:space="preserve">the </w:t>
      </w:r>
      <w:r>
        <w:t>allowed ROE exceeds the cost of capital, the utility will have a financial incentive to pursue new capital investments</w:t>
      </w:r>
      <w:r w:rsidR="005E2C54">
        <w:t xml:space="preserve"> – a phenomenon that is known </w:t>
      </w:r>
      <w:r>
        <w:t xml:space="preserve">as the Averch-Johnson effect and </w:t>
      </w:r>
      <w:r w:rsidR="005E2C54">
        <w:t xml:space="preserve">that </w:t>
      </w:r>
      <w:r w:rsidR="0096237C">
        <w:t xml:space="preserve">was </w:t>
      </w:r>
      <w:r>
        <w:t xml:space="preserve">first </w:t>
      </w:r>
      <w:r w:rsidRPr="00103FB6">
        <w:t xml:space="preserve">formalized in </w:t>
      </w:r>
      <w:r>
        <w:t xml:space="preserve">the </w:t>
      </w:r>
      <w:r w:rsidRPr="00103FB6">
        <w:t>economic literature in the 1960s.</w:t>
      </w:r>
      <w:r>
        <w:rPr>
          <w:rStyle w:val="FootnoteReference"/>
        </w:rPr>
        <w:footnoteReference w:id="2"/>
      </w:r>
      <w:r w:rsidRPr="00103FB6">
        <w:t xml:space="preserve"> </w:t>
      </w:r>
      <w:r w:rsidR="00153698">
        <w:t>Empirical evidence of capital</w:t>
      </w:r>
      <w:r w:rsidR="00103FB6" w:rsidRPr="00103FB6">
        <w:t xml:space="preserve"> bias has been observed in multiple jurisdictions. </w:t>
      </w:r>
      <w:r w:rsidR="00382817">
        <w:t>For example, a</w:t>
      </w:r>
      <w:r>
        <w:t xml:space="preserve"> recent </w:t>
      </w:r>
      <w:r w:rsidR="00153698">
        <w:t xml:space="preserve">University of California </w:t>
      </w:r>
      <w:r w:rsidR="00103FB6" w:rsidRPr="00103FB6">
        <w:t>Berkeley study found that a 1</w:t>
      </w:r>
      <w:r w:rsidR="00153698">
        <w:t xml:space="preserve"> percent </w:t>
      </w:r>
      <w:r w:rsidR="00103FB6" w:rsidRPr="00103FB6">
        <w:t>increase in allowed ROE led to a 3</w:t>
      </w:r>
      <w:r w:rsidR="00153698">
        <w:t xml:space="preserve"> percent to </w:t>
      </w:r>
      <w:r w:rsidR="00103FB6" w:rsidRPr="00103FB6">
        <w:t>4</w:t>
      </w:r>
      <w:r w:rsidR="00153698">
        <w:t xml:space="preserve"> percent</w:t>
      </w:r>
      <w:r w:rsidR="00103FB6" w:rsidRPr="00103FB6">
        <w:t xml:space="preserve"> increase in utility capital investments, driving up consumer costs.</w:t>
      </w:r>
      <w:r w:rsidR="00765EA9">
        <w:rPr>
          <w:rStyle w:val="FootnoteReference"/>
        </w:rPr>
        <w:footnoteReference w:id="3"/>
      </w:r>
      <w:r>
        <w:t xml:space="preserve"> Similarly, t</w:t>
      </w:r>
      <w:r w:rsidRPr="00103FB6">
        <w:t>he Rocky Mountain Institute</w:t>
      </w:r>
      <w:r w:rsidR="00382817">
        <w:t xml:space="preserve"> (RMI)</w:t>
      </w:r>
      <w:r w:rsidRPr="00103FB6">
        <w:t xml:space="preserve"> points out that inflated ROEs </w:t>
      </w:r>
      <w:r w:rsidRPr="00103FB6">
        <w:lastRenderedPageBreak/>
        <w:t>can delay the transition to clean energy by encouraging traditional infrastructure projects over operat</w:t>
      </w:r>
      <w:r w:rsidRPr="00382817">
        <w:t>ional solutions.</w:t>
      </w:r>
      <w:r w:rsidRPr="00382817">
        <w:rPr>
          <w:rStyle w:val="FootnoteReference"/>
        </w:rPr>
        <w:footnoteReference w:id="4"/>
      </w:r>
      <w:r w:rsidRPr="00382817">
        <w:t xml:space="preserve"> </w:t>
      </w:r>
      <w:r w:rsidR="00382817" w:rsidRPr="00382817">
        <w:t>Meanwhile, in the United Kingdom,</w:t>
      </w:r>
      <w:r w:rsidRPr="00382817">
        <w:t xml:space="preserve"> </w:t>
      </w:r>
      <w:r w:rsidR="00103FB6" w:rsidRPr="00382817">
        <w:t>misaligned regulatory assumptions</w:t>
      </w:r>
      <w:r w:rsidRPr="00382817">
        <w:t xml:space="preserve"> that boosted the authorize</w:t>
      </w:r>
      <w:r w:rsidR="00D033B7">
        <w:t>d</w:t>
      </w:r>
      <w:r w:rsidRPr="00382817">
        <w:t xml:space="preserve"> ROE above the cost of capital</w:t>
      </w:r>
      <w:r w:rsidR="00103FB6" w:rsidRPr="00382817">
        <w:t xml:space="preserve"> led utilities to earn £4 billion in excess profits between 2021 and 2024.</w:t>
      </w:r>
      <w:r w:rsidR="00767ED6" w:rsidRPr="00382817">
        <w:rPr>
          <w:rStyle w:val="FootnoteReference"/>
        </w:rPr>
        <w:footnoteReference w:id="5"/>
      </w:r>
      <w:r w:rsidR="009F5387">
        <w:t xml:space="preserve"> The drive to grow rate base may come at the expense of </w:t>
      </w:r>
      <w:r w:rsidR="009F5387" w:rsidRPr="00103FB6">
        <w:t>potentially lower-cost or more innovative alternatives</w:t>
      </w:r>
      <w:r w:rsidR="009F5387">
        <w:t xml:space="preserve">.    </w:t>
      </w:r>
    </w:p>
    <w:p w14:paraId="762068CE" w14:textId="694B7D69" w:rsidR="009F31BB" w:rsidRDefault="009F31BB" w:rsidP="00286160">
      <w:r>
        <w:t xml:space="preserve">The </w:t>
      </w:r>
      <w:r w:rsidR="00286160">
        <w:t xml:space="preserve">ROE may be set above the cost of capital because it is difficult to determine the utility’s actual cost of capital. </w:t>
      </w:r>
      <w:r w:rsidR="00286160" w:rsidRPr="00286160">
        <w:t xml:space="preserve">Investors </w:t>
      </w:r>
      <w:r w:rsidR="00286160">
        <w:t>are typically only willing to provide a utility with c</w:t>
      </w:r>
      <w:r w:rsidR="00286160" w:rsidRPr="00286160">
        <w:t>apital if they</w:t>
      </w:r>
      <w:r w:rsidR="00286160">
        <w:t xml:space="preserve"> </w:t>
      </w:r>
      <w:r w:rsidR="00286160" w:rsidRPr="00286160">
        <w:t>expect to earn a return on their investment commensurate with returns available</w:t>
      </w:r>
      <w:r w:rsidR="00286160">
        <w:t xml:space="preserve"> </w:t>
      </w:r>
      <w:r w:rsidR="00286160" w:rsidRPr="00286160">
        <w:t>from alternative investments with comparable risks.</w:t>
      </w:r>
      <w:r w:rsidR="00286160">
        <w:t xml:space="preserve"> Thus, determining the utility’s cost of capital requires an evaluation of its risk profile and an analysis of the returns on investments with similar risk profiles. Several different models are typically relied upon to determine an ROE “range of reasonableness</w:t>
      </w:r>
      <w:r w:rsidR="00650119">
        <w:t xml:space="preserve">.” </w:t>
      </w:r>
      <w:r w:rsidR="00286160">
        <w:t xml:space="preserve">Regulators are generally required to ensure that rates are set high enough to allow the utility a reasonable opportunity to earn a sufficient return on its </w:t>
      </w:r>
      <w:r w:rsidR="00650119">
        <w:t>investments</w:t>
      </w:r>
      <w:r w:rsidR="00286160">
        <w:t>.</w:t>
      </w:r>
      <w:r w:rsidR="00286160">
        <w:rPr>
          <w:rStyle w:val="FootnoteReference"/>
        </w:rPr>
        <w:footnoteReference w:id="6"/>
      </w:r>
      <w:r w:rsidR="00286160">
        <w:t xml:space="preserve"> </w:t>
      </w:r>
      <w:r w:rsidR="00950400">
        <w:t>However, within this range of reasonableness, the regulator has the ability to establish an ROE that is reflective of the utility’s performance.</w:t>
      </w:r>
    </w:p>
    <w:p w14:paraId="125AD548" w14:textId="077416B8" w:rsidR="00ED7CF2" w:rsidRDefault="00ED7CF2" w:rsidP="00ED7CF2">
      <w:pPr>
        <w:pStyle w:val="Heading3"/>
      </w:pPr>
      <w:r>
        <w:t>PIMs that Increase ROE can Worsen Capital Bias</w:t>
      </w:r>
    </w:p>
    <w:p w14:paraId="6C04EB6E" w14:textId="4B12EF6E" w:rsidR="00862689" w:rsidRDefault="00716A22" w:rsidP="004F076A">
      <w:r w:rsidRPr="00382817">
        <w:t>Utility capital</w:t>
      </w:r>
      <w:r w:rsidR="00BC10B4" w:rsidRPr="00382817">
        <w:t xml:space="preserve"> bias </w:t>
      </w:r>
      <w:r w:rsidRPr="00382817">
        <w:t>may be exacerbated</w:t>
      </w:r>
      <w:r w:rsidR="00BC10B4" w:rsidRPr="00382817">
        <w:t xml:space="preserve"> by </w:t>
      </w:r>
      <w:r w:rsidRPr="00382817">
        <w:t>PIMs</w:t>
      </w:r>
      <w:r w:rsidR="0096237C">
        <w:t xml:space="preserve"> when </w:t>
      </w:r>
      <w:r w:rsidR="00D033B7">
        <w:t>the financial incentive is applied as an ROE adder</w:t>
      </w:r>
      <w:r w:rsidR="0060167A">
        <w:t xml:space="preserve">, since </w:t>
      </w:r>
      <w:r w:rsidR="00D033B7">
        <w:t xml:space="preserve">this </w:t>
      </w:r>
      <w:r w:rsidR="0060167A">
        <w:t xml:space="preserve">will increase the </w:t>
      </w:r>
      <w:r w:rsidR="0096237C">
        <w:t xml:space="preserve">overall </w:t>
      </w:r>
      <w:r w:rsidR="00382817" w:rsidRPr="00382817">
        <w:t>ROE</w:t>
      </w:r>
      <w:r w:rsidR="00BC10B4" w:rsidRPr="00382817">
        <w:t xml:space="preserve"> when </w:t>
      </w:r>
      <w:r w:rsidR="0096237C">
        <w:t>the subject utility</w:t>
      </w:r>
      <w:r w:rsidR="00BC10B4" w:rsidRPr="00382817">
        <w:t xml:space="preserve"> meet</w:t>
      </w:r>
      <w:r w:rsidR="0096237C">
        <w:t>s</w:t>
      </w:r>
      <w:r w:rsidR="00BC10B4" w:rsidRPr="00382817">
        <w:t xml:space="preserve"> </w:t>
      </w:r>
      <w:r w:rsidR="00382817" w:rsidRPr="00382817">
        <w:t xml:space="preserve">PIM </w:t>
      </w:r>
      <w:r w:rsidR="00BC10B4" w:rsidRPr="00382817">
        <w:t xml:space="preserve">performance targets. </w:t>
      </w:r>
      <w:r w:rsidR="005661AC">
        <w:t xml:space="preserve">As the </w:t>
      </w:r>
      <w:r w:rsidR="00D033B7">
        <w:t>difference</w:t>
      </w:r>
      <w:r w:rsidR="00D033B7" w:rsidRPr="00382817">
        <w:t xml:space="preserve"> </w:t>
      </w:r>
      <w:r w:rsidR="00382817" w:rsidRPr="00382817">
        <w:t xml:space="preserve">between </w:t>
      </w:r>
      <w:r w:rsidR="00D033B7">
        <w:t xml:space="preserve">the </w:t>
      </w:r>
      <w:r w:rsidR="00382817" w:rsidRPr="00382817">
        <w:t xml:space="preserve">authorized ROE and the utility’s </w:t>
      </w:r>
      <w:r w:rsidR="00D033B7">
        <w:t xml:space="preserve">actual </w:t>
      </w:r>
      <w:r w:rsidR="00382817" w:rsidRPr="00382817">
        <w:t>cost of capital</w:t>
      </w:r>
      <w:r w:rsidR="005661AC">
        <w:t xml:space="preserve"> grows, the utility faces even stronger incentives to increase capital investments, which may </w:t>
      </w:r>
      <w:r w:rsidR="00382817" w:rsidRPr="00382817">
        <w:t xml:space="preserve">be at cross purposes to the </w:t>
      </w:r>
      <w:r w:rsidR="0096237C">
        <w:t>goals of the PIM</w:t>
      </w:r>
      <w:r w:rsidR="00382817">
        <w:t>.</w:t>
      </w:r>
      <w:r w:rsidR="0009591E">
        <w:rPr>
          <w:rStyle w:val="FootnoteReference"/>
        </w:rPr>
        <w:footnoteReference w:id="7"/>
      </w:r>
      <w:r w:rsidR="0009591E">
        <w:t xml:space="preserve"> </w:t>
      </w:r>
      <w:r w:rsidR="00BC10B4" w:rsidRPr="00BC10B4">
        <w:t xml:space="preserve">For </w:t>
      </w:r>
      <w:r w:rsidR="0060167A">
        <w:t>example</w:t>
      </w:r>
      <w:r w:rsidR="00BC10B4" w:rsidRPr="00BC10B4">
        <w:t>, a utility seeking to meet a reliability-based PIM may choose expensive infrastructure upgrades, such as substation reinforcements or feeder automation, even when non-capital solutions like demand response or targeted DER deployment might deliver similar benefits at lower total cost.</w:t>
      </w:r>
    </w:p>
    <w:p w14:paraId="225D2C34" w14:textId="0B0961E1" w:rsidR="00F15D25" w:rsidRPr="00066C94" w:rsidRDefault="00F15D25" w:rsidP="00F15D25">
      <w:pPr>
        <w:pStyle w:val="Heading2"/>
        <w:ind w:left="720" w:hanging="720"/>
      </w:pPr>
      <w:bookmarkStart w:id="5" w:name="_Toc194415762"/>
      <w:r w:rsidRPr="00066C94">
        <w:lastRenderedPageBreak/>
        <w:t>PIMs may not Motivate Action</w:t>
      </w:r>
      <w:r w:rsidR="0060167A">
        <w:t xml:space="preserve"> (PIM Design Challenge #2)</w:t>
      </w:r>
      <w:bookmarkEnd w:id="5"/>
    </w:p>
    <w:p w14:paraId="66EF3CE5" w14:textId="1A936FA1" w:rsidR="0096237C" w:rsidRPr="0096237C" w:rsidRDefault="0096237C" w:rsidP="00F15D25">
      <w:r>
        <w:t xml:space="preserve">The discussion above focused on the risk of PIMs exacerbating utility capital bias by increasing the overall ROE. In that </w:t>
      </w:r>
      <w:r w:rsidR="0060167A">
        <w:t>case</w:t>
      </w:r>
      <w:r>
        <w:t xml:space="preserve">, the subject utility is motivated to achieve the targeted PIM outcomes, but there are unintended consequences that can drive up overall costs for customers and potentially even imperil </w:t>
      </w:r>
      <w:r w:rsidR="00980973">
        <w:t>the</w:t>
      </w:r>
      <w:r w:rsidR="0060167A">
        <w:t xml:space="preserve"> objectives of the</w:t>
      </w:r>
      <w:r>
        <w:t xml:space="preserve"> PIM</w:t>
      </w:r>
      <w:r w:rsidR="00980973">
        <w:t>s and wider regulatory regime</w:t>
      </w:r>
      <w:r w:rsidR="0060167A">
        <w:t xml:space="preserve"> </w:t>
      </w:r>
      <w:r>
        <w:t xml:space="preserve">over the longer haul. On the other </w:t>
      </w:r>
      <w:r w:rsidR="0060167A">
        <w:t xml:space="preserve">hand, there is the challenge of designing PIMs that </w:t>
      </w:r>
      <w:r w:rsidR="00D703FD">
        <w:t>provide sufficiently</w:t>
      </w:r>
      <w:r w:rsidR="0060167A">
        <w:t xml:space="preserve"> large </w:t>
      </w:r>
      <w:r w:rsidR="00D703FD">
        <w:t xml:space="preserve">financial repercussions to motivate a change in </w:t>
      </w:r>
      <w:r w:rsidR="0060167A">
        <w:t xml:space="preserve">utility behavior. Companies </w:t>
      </w:r>
      <w:r>
        <w:t xml:space="preserve">such as Dominion and APCo are large corporations with </w:t>
      </w:r>
      <w:r w:rsidR="005A0EA9">
        <w:t>net income</w:t>
      </w:r>
      <w:r>
        <w:t xml:space="preserve"> in the billions of dollars. </w:t>
      </w:r>
      <w:r w:rsidR="00980973">
        <w:t>In this context</w:t>
      </w:r>
      <w:r>
        <w:t xml:space="preserve">, PIM incentives </w:t>
      </w:r>
      <w:r w:rsidR="00980973">
        <w:t xml:space="preserve">may  </w:t>
      </w:r>
      <w:r>
        <w:t xml:space="preserve">be insufficient to alter entrenched utility practices – especially when </w:t>
      </w:r>
      <w:r w:rsidR="00980973">
        <w:t xml:space="preserve">the PIM objectives conflict with the existing capital bias. </w:t>
      </w:r>
      <w:r>
        <w:t xml:space="preserve"> </w:t>
      </w:r>
    </w:p>
    <w:p w14:paraId="2E49D4AA" w14:textId="2A8A939B" w:rsidR="00980973" w:rsidRDefault="005A0EA9" w:rsidP="00F15D25">
      <w:r>
        <w:t>T</w:t>
      </w:r>
      <w:r w:rsidR="00980973">
        <w:t>here is no standard</w:t>
      </w:r>
      <w:r w:rsidR="0060167A">
        <w:t xml:space="preserve"> for how large PIM incentives must be to </w:t>
      </w:r>
      <w:r>
        <w:t xml:space="preserve">motivate </w:t>
      </w:r>
      <w:r w:rsidR="0060167A">
        <w:t>change,</w:t>
      </w:r>
      <w:r w:rsidR="00980973">
        <w:t xml:space="preserve"> but the context is critical. </w:t>
      </w:r>
      <w:r w:rsidR="000D452F">
        <w:t>PIMs targeting energy efficiency, demand response, non-wires alternatives or other actions that tend to reduce sales, capital investment, or both should be sized to offer a meaningful countervailing incentive. In the next section, we consider the specific case of energy efficiency in Virginia and whether the incentives offered to Dominion were sufficient</w:t>
      </w:r>
      <w:r w:rsidR="0060167A">
        <w:t xml:space="preserve">. </w:t>
      </w:r>
    </w:p>
    <w:p w14:paraId="46B1DC71" w14:textId="59F76987" w:rsidR="0060167A" w:rsidRDefault="0060167A" w:rsidP="0060167A">
      <w:pPr>
        <w:pStyle w:val="Heading2"/>
        <w:ind w:left="720" w:hanging="720"/>
      </w:pPr>
      <w:bookmarkStart w:id="6" w:name="_Toc194415763"/>
      <w:r>
        <w:t>PIM Incentives Should be Coordinated with ROE</w:t>
      </w:r>
      <w:bookmarkEnd w:id="6"/>
    </w:p>
    <w:p w14:paraId="3C0F6D03" w14:textId="260EDD6C" w:rsidR="0060167A" w:rsidRDefault="0060167A" w:rsidP="00F15D25">
      <w:r>
        <w:t xml:space="preserve">For PIMs to be effective, incentives must be large enough to motivate utility action. To be efficient, PIMs should not over-reward utilities or exacerbate capital bias. To jointly address these two design challenges, we recommend that PIM incentives be coordinated with utility ROE. </w:t>
      </w:r>
      <w:r w:rsidR="0073341A">
        <w:t>Where PIMs provide an opportunity for the utility to earn additional profit,</w:t>
      </w:r>
      <w:r>
        <w:t xml:space="preserve"> the ROE should be fixed at the cost of capital or lower, and PIMs should provide for supplemental earnings depending on utility performance. We further develop these recommendations and provide exceptions in Section </w:t>
      </w:r>
      <w:r>
        <w:fldChar w:fldCharType="begin"/>
      </w:r>
      <w:r>
        <w:instrText xml:space="preserve"> REF _Ref194078792 \r \h </w:instrText>
      </w:r>
      <w:r>
        <w:fldChar w:fldCharType="separate"/>
      </w:r>
      <w:r>
        <w:t>4</w:t>
      </w:r>
      <w:r>
        <w:fldChar w:fldCharType="end"/>
      </w:r>
      <w:r>
        <w:t>.</w:t>
      </w:r>
    </w:p>
    <w:p w14:paraId="73FE8354" w14:textId="0184B5E3" w:rsidR="00A22D83" w:rsidRDefault="00FE2FF6" w:rsidP="00FE2FF6">
      <w:pPr>
        <w:pStyle w:val="Heading1"/>
      </w:pPr>
      <w:bookmarkStart w:id="7" w:name="_Toc194415764"/>
      <w:r>
        <w:t xml:space="preserve">Case Study: </w:t>
      </w:r>
      <w:r w:rsidR="00327755">
        <w:t xml:space="preserve">Energy Efficiency </w:t>
      </w:r>
      <w:r>
        <w:t>PIMs in Virginia</w:t>
      </w:r>
      <w:bookmarkEnd w:id="7"/>
    </w:p>
    <w:p w14:paraId="6F2A527E" w14:textId="63F4B1FA" w:rsidR="000D452F" w:rsidRPr="000D452F" w:rsidRDefault="000D452F" w:rsidP="000D452F">
      <w:r>
        <w:t>While the 2023 legislation opened the door to wider implementation of PIMs, the Virginia utilities have operated with energy efficiency</w:t>
      </w:r>
      <w:r w:rsidR="00327755">
        <w:t xml:space="preserve"> (EE)</w:t>
      </w:r>
      <w:r>
        <w:t xml:space="preserve"> incentives </w:t>
      </w:r>
      <w:r w:rsidR="00C0010A" w:rsidRPr="008B57F7">
        <w:t xml:space="preserve">since </w:t>
      </w:r>
      <w:r w:rsidR="008B57F7">
        <w:t>2022</w:t>
      </w:r>
      <w:r>
        <w:t xml:space="preserve">. The experience of these incentives has been mixed. In this section, we evaluate recent outcomes for Dominion and APCo and explore potential implications for future PIM design. </w:t>
      </w:r>
    </w:p>
    <w:p w14:paraId="2E8C5E74" w14:textId="77777777" w:rsidR="00F67D58" w:rsidRDefault="00F67D58" w:rsidP="00F67D58">
      <w:pPr>
        <w:pStyle w:val="Heading2"/>
      </w:pPr>
      <w:bookmarkStart w:id="8" w:name="_Toc194415765"/>
      <w:r>
        <w:lastRenderedPageBreak/>
        <w:t>Background on Dominion’s EE PIMs</w:t>
      </w:r>
      <w:bookmarkEnd w:id="8"/>
    </w:p>
    <w:p w14:paraId="5A105EAE" w14:textId="61CE0F2C" w:rsidR="00F67D58" w:rsidRDefault="00F67D58" w:rsidP="00F67D58">
      <w:r>
        <w:t xml:space="preserve">On a gross savings basis, Dominion </w:t>
      </w:r>
      <w:r w:rsidRPr="00693A09">
        <w:rPr>
          <w:rFonts w:asciiTheme="minorHAnsi" w:hAnsiTheme="minorHAnsi"/>
        </w:rPr>
        <w:t>met or exceeded its energy efficiency savings goals for both 2022 and 2023</w:t>
      </w:r>
      <w:r>
        <w:t>.</w:t>
      </w:r>
      <w:r>
        <w:rPr>
          <w:rStyle w:val="FootnoteReference"/>
        </w:rPr>
        <w:footnoteReference w:id="8"/>
      </w:r>
      <w:r>
        <w:t xml:space="preserve"> </w:t>
      </w:r>
      <w:r w:rsidRPr="00693A09">
        <w:t>However, under the net savings requirement set forth by the SCC, Dominion fell short. Specifically, Va. Code § 56-596.2 mandated a 2.5</w:t>
      </w:r>
      <w:r w:rsidR="001200A0">
        <w:t xml:space="preserve"> percent </w:t>
      </w:r>
      <w:r w:rsidRPr="00693A09">
        <w:t>net energy savings target in 2023, while Dominion achieved only 1.4</w:t>
      </w:r>
      <w:r w:rsidR="001200A0">
        <w:t xml:space="preserve"> percent</w:t>
      </w:r>
      <w:r w:rsidR="00327755">
        <w:t xml:space="preserve"> net energy savings</w:t>
      </w:r>
      <w:r>
        <w:t>.</w:t>
      </w:r>
      <w:r>
        <w:rPr>
          <w:rStyle w:val="FootnoteReference"/>
        </w:rPr>
        <w:footnoteReference w:id="9"/>
      </w:r>
      <w:r>
        <w:t xml:space="preserve"> </w:t>
      </w:r>
      <w:r w:rsidRPr="001A3F1D">
        <w:t>Similarly, in 2022, Dominion achieved 1.23</w:t>
      </w:r>
      <w:r w:rsidR="001200A0">
        <w:t xml:space="preserve"> percent</w:t>
      </w:r>
      <w:r w:rsidRPr="001A3F1D">
        <w:t xml:space="preserve"> net savings, slightly below the 1.25</w:t>
      </w:r>
      <w:r w:rsidR="001200A0">
        <w:t xml:space="preserve"> percent</w:t>
      </w:r>
      <w:r w:rsidRPr="001A3F1D">
        <w:t xml:space="preserve"> target</w:t>
      </w:r>
      <w:r>
        <w:t>.</w:t>
      </w:r>
    </w:p>
    <w:p w14:paraId="410D318C" w14:textId="63ADD7DD" w:rsidR="00F67D58" w:rsidRDefault="00F67D58" w:rsidP="00F67D58">
      <w:r>
        <w:t>Had Dominion successfully met the net savings targets, it would have qualified for a margin on operations and maintenance (O&amp;M) expenses, as outlined in Va. Code § 56-596.2. Additionally, had Dominion exceeded the targets, it could have earned an additional 20 basis points for each incremental 0.1</w:t>
      </w:r>
      <w:r w:rsidR="001200A0">
        <w:t xml:space="preserve"> percent </w:t>
      </w:r>
      <w:r>
        <w:t>of savings beyond the requirement, capped at 10</w:t>
      </w:r>
      <w:r w:rsidR="001200A0">
        <w:t xml:space="preserve"> percent</w:t>
      </w:r>
      <w:r>
        <w:t xml:space="preserve"> of total energy efficiency program spending. </w:t>
      </w:r>
      <w:r w:rsidRPr="003E6483">
        <w:t>Because Dominion did not meet these goals, it forfeited a $6 million performance incentive for 2022 and faces delays in securing approval for new thermal generation resources.</w:t>
      </w:r>
      <w:r>
        <w:rPr>
          <w:rStyle w:val="FootnoteReference"/>
        </w:rPr>
        <w:footnoteReference w:id="10"/>
      </w:r>
    </w:p>
    <w:p w14:paraId="28817E7E" w14:textId="28788E1E" w:rsidR="00F67D58" w:rsidRDefault="00F67D58" w:rsidP="00F67D58">
      <w:r>
        <w:t xml:space="preserve">There are </w:t>
      </w:r>
      <w:r w:rsidR="001200A0">
        <w:t xml:space="preserve">likely </w:t>
      </w:r>
      <w:r>
        <w:t xml:space="preserve">many factors affecting Dominion’s EE performance. While the Company clearly missed the mark in both 2022 and 2023, it is difficult to determine where fault lies. </w:t>
      </w:r>
      <w:r w:rsidR="004F43C3">
        <w:t>As of the 2024 DSM proceeding, t</w:t>
      </w:r>
      <w:r w:rsidR="001200A0">
        <w:t>he</w:t>
      </w:r>
      <w:r>
        <w:t xml:space="preserve"> Company </w:t>
      </w:r>
      <w:r w:rsidR="0060167A">
        <w:t xml:space="preserve">had </w:t>
      </w:r>
      <w:r>
        <w:t xml:space="preserve">spent </w:t>
      </w:r>
      <w:r w:rsidR="00327755">
        <w:t xml:space="preserve">more than </w:t>
      </w:r>
      <w:r>
        <w:t>the minimum $870 million on</w:t>
      </w:r>
      <w:r w:rsidRPr="001A3F1D">
        <w:t xml:space="preserve"> energy efficiency programs</w:t>
      </w:r>
      <w:r w:rsidR="004F43C3">
        <w:t xml:space="preserve"> before the 2028 spending deadline</w:t>
      </w:r>
      <w:r>
        <w:t xml:space="preserve"> </w:t>
      </w:r>
      <w:r w:rsidR="001200A0">
        <w:t xml:space="preserve">but </w:t>
      </w:r>
      <w:r w:rsidR="0060167A">
        <w:t>had</w:t>
      </w:r>
      <w:r>
        <w:t xml:space="preserve"> not</w:t>
      </w:r>
      <w:r w:rsidRPr="001A3F1D">
        <w:t xml:space="preserve"> </w:t>
      </w:r>
      <w:r>
        <w:t>reach</w:t>
      </w:r>
      <w:r w:rsidR="0060167A">
        <w:t>ed</w:t>
      </w:r>
      <w:r>
        <w:t xml:space="preserve"> its net savings targets, raising questions about whether the underlying issue is the sufficiency of spending or the </w:t>
      </w:r>
      <w:r>
        <w:rPr>
          <w:i/>
          <w:iCs/>
        </w:rPr>
        <w:t>effectiveness</w:t>
      </w:r>
      <w:r>
        <w:t xml:space="preserve"> of spending.</w:t>
      </w:r>
      <w:r>
        <w:rPr>
          <w:rStyle w:val="FootnoteReference"/>
        </w:rPr>
        <w:footnoteReference w:id="11"/>
      </w:r>
      <w:r>
        <w:t xml:space="preserve"> </w:t>
      </w:r>
      <w:r w:rsidR="0060167A">
        <w:t xml:space="preserve">In the next section, we explore possible explanations for the failure of Dominion to meet its EE targets. </w:t>
      </w:r>
    </w:p>
    <w:p w14:paraId="7087B7E6" w14:textId="0E6C3FC5" w:rsidR="001200A0" w:rsidRDefault="001200A0" w:rsidP="00F67D58">
      <w:pPr>
        <w:pStyle w:val="Heading2"/>
      </w:pPr>
      <w:bookmarkStart w:id="9" w:name="_Toc194415766"/>
      <w:r>
        <w:t>Diagnosing Dominion’s Failure to Earn EE Incentives</w:t>
      </w:r>
      <w:bookmarkEnd w:id="9"/>
    </w:p>
    <w:p w14:paraId="39E61112" w14:textId="3171F58F" w:rsidR="001200A0" w:rsidRDefault="00F67D58" w:rsidP="001200A0">
      <w:r>
        <w:t>There are several possible explanations for the Company’s failure to achieve</w:t>
      </w:r>
      <w:r w:rsidR="000E1443">
        <w:t xml:space="preserve"> its</w:t>
      </w:r>
      <w:r>
        <w:t xml:space="preserve"> EE targets</w:t>
      </w:r>
      <w:r w:rsidR="001200A0">
        <w:t>:</w:t>
      </w:r>
    </w:p>
    <w:p w14:paraId="1552F362" w14:textId="072FCB16" w:rsidR="00F67D58" w:rsidRDefault="00F67D58" w:rsidP="001200A0">
      <w:pPr>
        <w:pStyle w:val="ListParagraph"/>
        <w:numPr>
          <w:ilvl w:val="0"/>
          <w:numId w:val="26"/>
        </w:numPr>
      </w:pPr>
      <w:r>
        <w:t xml:space="preserve">A lack of clear understanding of the </w:t>
      </w:r>
      <w:r w:rsidR="008B7429">
        <w:t>EE</w:t>
      </w:r>
      <w:r>
        <w:t xml:space="preserve"> targets.</w:t>
      </w:r>
    </w:p>
    <w:p w14:paraId="2A4FAC2D" w14:textId="71CED3FF" w:rsidR="00F67D58" w:rsidRDefault="00F67D58" w:rsidP="00F67D58">
      <w:pPr>
        <w:pStyle w:val="ListParagraph"/>
        <w:numPr>
          <w:ilvl w:val="0"/>
          <w:numId w:val="26"/>
        </w:numPr>
      </w:pPr>
      <w:r>
        <w:t xml:space="preserve">A lack of sufficient incentives to achieve </w:t>
      </w:r>
      <w:r w:rsidR="008B7429">
        <w:t>EE</w:t>
      </w:r>
      <w:r>
        <w:t xml:space="preserve"> targets</w:t>
      </w:r>
      <w:r w:rsidR="001200A0">
        <w:t xml:space="preserve">. </w:t>
      </w:r>
    </w:p>
    <w:p w14:paraId="4D8D0F51" w14:textId="77777777" w:rsidR="00F67D58" w:rsidRDefault="00F67D58" w:rsidP="00F67D58">
      <w:pPr>
        <w:pStyle w:val="ListParagraph"/>
        <w:numPr>
          <w:ilvl w:val="0"/>
          <w:numId w:val="26"/>
        </w:numPr>
      </w:pPr>
      <w:r>
        <w:t xml:space="preserve">A lack of ability to achieve EE targets. </w:t>
      </w:r>
    </w:p>
    <w:p w14:paraId="4359B384" w14:textId="1F637132" w:rsidR="008B7429" w:rsidRDefault="008B7429" w:rsidP="008B7429">
      <w:pPr>
        <w:pStyle w:val="Heading3"/>
      </w:pPr>
      <w:r>
        <w:lastRenderedPageBreak/>
        <w:t>Lack of Clear Understanding of EE Targets</w:t>
      </w:r>
    </w:p>
    <w:p w14:paraId="616FF3AB" w14:textId="3B2B486B" w:rsidR="00F67D58" w:rsidRDefault="008B7429" w:rsidP="00AB5B73">
      <w:r>
        <w:t>In</w:t>
      </w:r>
      <w:r w:rsidR="00F67D58">
        <w:t xml:space="preserve"> previous proceedings dating back to 2022, Dominion expressed confusion </w:t>
      </w:r>
      <w:r w:rsidR="00F67D58" w:rsidRPr="00693A09">
        <w:rPr>
          <w:rFonts w:asciiTheme="minorHAnsi" w:hAnsiTheme="minorHAnsi"/>
        </w:rPr>
        <w:t>regarding whether the energy efficiency savings targets set by Va. Code § 56-596.2 should be measured on a "gross" or "net" basis</w:t>
      </w:r>
      <w:r w:rsidR="00F67D58">
        <w:t>.</w:t>
      </w:r>
      <w:r w:rsidR="00F67D58">
        <w:rPr>
          <w:rStyle w:val="FootnoteReference"/>
        </w:rPr>
        <w:footnoteReference w:id="12"/>
      </w:r>
      <w:r w:rsidR="00F67D58">
        <w:t xml:space="preserve"> </w:t>
      </w:r>
      <w:r w:rsidR="00F67D58" w:rsidRPr="00693A09">
        <w:rPr>
          <w:rFonts w:asciiTheme="minorHAnsi" w:hAnsiTheme="minorHAnsi"/>
        </w:rPr>
        <w:t>Initially, Dominion argued that the Virginia Clean Economy Act (VCEA) intended for compliance to be assessed based on gross savings. The Virginia State Corporation Commission (SCC) deferred ruling on this issue until the 2023 Demand-Side Management (DSM) final order, which was issued in July 2024. In that order, the SCC clarified that compliance must be measured using "net" savings, which account for free riders and other market effects</w:t>
      </w:r>
      <w:r w:rsidR="00F67D58">
        <w:t>.</w:t>
      </w:r>
      <w:r w:rsidR="00F67D58">
        <w:rPr>
          <w:rStyle w:val="FootnoteReference"/>
        </w:rPr>
        <w:footnoteReference w:id="13"/>
      </w:r>
      <w:r w:rsidR="00AB5B73">
        <w:t xml:space="preserve"> </w:t>
      </w:r>
      <w:r w:rsidR="00F67D58" w:rsidRPr="00700B75">
        <w:t>Given this timelin</w:t>
      </w:r>
      <w:r w:rsidR="00F67D58">
        <w:t>e, Dominion may have</w:t>
      </w:r>
      <w:r w:rsidR="00F67D58" w:rsidRPr="001A3F1D">
        <w:t xml:space="preserve"> </w:t>
      </w:r>
      <w:r w:rsidR="00F67D58">
        <w:t xml:space="preserve">formulated its EE strategy </w:t>
      </w:r>
      <w:r w:rsidR="00F67D58" w:rsidRPr="001A3F1D">
        <w:t>based on gross savings calculations. The SCC’s decision</w:t>
      </w:r>
      <w:r w:rsidR="00AB5B73">
        <w:t>, coming</w:t>
      </w:r>
      <w:r w:rsidR="00F67D58" w:rsidRPr="001A3F1D">
        <w:t xml:space="preserve"> in July 2024, may have left Dominion with insufficient time to pivot its approach, contributing to its inability to meet the 2024 net savings target.</w:t>
      </w:r>
    </w:p>
    <w:p w14:paraId="536DE56F" w14:textId="2FE32736" w:rsidR="008B7429" w:rsidRDefault="008B7429" w:rsidP="008B7429">
      <w:pPr>
        <w:pStyle w:val="Heading3"/>
      </w:pPr>
      <w:r>
        <w:t>Lack of Sufficient Incentives</w:t>
      </w:r>
      <w:r w:rsidR="008B57F7">
        <w:t>/Motivation</w:t>
      </w:r>
      <w:r>
        <w:t xml:space="preserve"> to Achieve EE Targets</w:t>
      </w:r>
    </w:p>
    <w:p w14:paraId="52DE011D" w14:textId="291D9C81" w:rsidR="008B7429" w:rsidRDefault="008B7429" w:rsidP="008B7429">
      <w:r w:rsidRPr="003D1DDC">
        <w:t>Other</w:t>
      </w:r>
      <w:r w:rsidR="00F67D58" w:rsidRPr="003D1DDC">
        <w:t xml:space="preserve"> evidence supports the </w:t>
      </w:r>
      <w:r w:rsidRPr="003D1DDC">
        <w:t>view</w:t>
      </w:r>
      <w:r w:rsidR="00F67D58" w:rsidRPr="003D1DDC">
        <w:t xml:space="preserve"> that Dominion may not have been sufficiently motivated to achieve </w:t>
      </w:r>
      <w:r w:rsidR="000E1443" w:rsidRPr="003D1DDC">
        <w:t xml:space="preserve">its </w:t>
      </w:r>
      <w:r w:rsidR="00F67D58" w:rsidRPr="003D1DDC">
        <w:t>EE targets</w:t>
      </w:r>
      <w:r w:rsidR="000E1443" w:rsidRPr="003D1DDC">
        <w:t xml:space="preserve"> and therefore may not have adequately marketed its EE programs to customers</w:t>
      </w:r>
      <w:r w:rsidR="00F67D58" w:rsidRPr="003D1DDC">
        <w:t xml:space="preserve">. </w:t>
      </w:r>
      <w:r w:rsidRPr="003D1DDC">
        <w:t>For example,</w:t>
      </w:r>
      <w:r w:rsidR="00F67D58" w:rsidRPr="003D1DDC">
        <w:t xml:space="preserve"> </w:t>
      </w:r>
      <w:r w:rsidR="000E1443" w:rsidRPr="003D1DDC">
        <w:t>m</w:t>
      </w:r>
      <w:r w:rsidR="00F67D58" w:rsidRPr="003D1DDC">
        <w:t>arket research indicated that only 15</w:t>
      </w:r>
      <w:r w:rsidR="0025114A" w:rsidRPr="003D1DDC">
        <w:t xml:space="preserve"> percent</w:t>
      </w:r>
      <w:r w:rsidR="00F67D58" w:rsidRPr="003D1DDC">
        <w:t xml:space="preserve"> of non-residential customers were aware of Dominion’s available efficiency programs.</w:t>
      </w:r>
      <w:r w:rsidR="00F67D58" w:rsidRPr="003D1DDC">
        <w:rPr>
          <w:rStyle w:val="FootnoteReference"/>
        </w:rPr>
        <w:footnoteReference w:id="14"/>
      </w:r>
      <w:r w:rsidR="00F67D58" w:rsidRPr="003D1DDC">
        <w:t xml:space="preserve"> Additionally, Dominion’s array of energy efficiency programs lack a streamlined </w:t>
      </w:r>
      <w:r w:rsidR="003D1DDC" w:rsidRPr="003D1DDC">
        <w:t>process for customers to access all programs</w:t>
      </w:r>
      <w:r w:rsidR="00F67D58" w:rsidRPr="003D1DDC">
        <w:t>, complicating access for consumers.</w:t>
      </w:r>
      <w:r w:rsidR="00F67D58" w:rsidRPr="003D1DDC">
        <w:rPr>
          <w:rStyle w:val="FootnoteReference"/>
        </w:rPr>
        <w:footnoteReference w:id="15"/>
      </w:r>
      <w:r w:rsidR="00F67D58" w:rsidRPr="003D1DDC">
        <w:t xml:space="preserve"> This suggests that underinvestment</w:t>
      </w:r>
      <w:r w:rsidRPr="003D1DDC">
        <w:t xml:space="preserve"> or </w:t>
      </w:r>
      <w:r w:rsidRPr="003D1DDC">
        <w:rPr>
          <w:i/>
          <w:iCs/>
        </w:rPr>
        <w:t xml:space="preserve">ineffective </w:t>
      </w:r>
      <w:r w:rsidRPr="003D1DDC">
        <w:t>investment</w:t>
      </w:r>
      <w:r w:rsidR="00F67D58" w:rsidRPr="003D1DDC">
        <w:t xml:space="preserve"> in marketing and outreach efforts may have impacted participation rates, making it more difficult for Dominion to achieve the required net energy savings.</w:t>
      </w:r>
      <w:r>
        <w:t xml:space="preserve"> </w:t>
      </w:r>
    </w:p>
    <w:p w14:paraId="75910BC8" w14:textId="201418F7" w:rsidR="008B7429" w:rsidRDefault="008B7429" w:rsidP="008B7429">
      <w:pPr>
        <w:pStyle w:val="Heading3"/>
      </w:pPr>
      <w:r>
        <w:t>Lack of Ability to Achieve EE Targets</w:t>
      </w:r>
    </w:p>
    <w:p w14:paraId="21347C4B" w14:textId="68EE8695" w:rsidR="008B7429" w:rsidRDefault="008B7429" w:rsidP="000B4CE9">
      <w:r>
        <w:t xml:space="preserve">While it appears that </w:t>
      </w:r>
      <w:r w:rsidR="000E1443">
        <w:t xml:space="preserve">the </w:t>
      </w:r>
      <w:r w:rsidRPr="003E6483">
        <w:t xml:space="preserve">EE targets set under Va. Code § 56-596.2 are </w:t>
      </w:r>
      <w:r>
        <w:t>appropriately ambitious</w:t>
      </w:r>
      <w:r w:rsidRPr="003E6483">
        <w:t xml:space="preserve"> for Dominion Energy</w:t>
      </w:r>
      <w:r>
        <w:t xml:space="preserve">, there is also some evidence to suggest that it </w:t>
      </w:r>
      <w:r w:rsidR="0060167A">
        <w:t>is</w:t>
      </w:r>
      <w:r>
        <w:t xml:space="preserve"> getting increasingly difficult</w:t>
      </w:r>
      <w:r w:rsidR="0060167A">
        <w:t xml:space="preserve"> </w:t>
      </w:r>
      <w:r>
        <w:t xml:space="preserve">and costly for the Company to meet these targets, suggesting that the Company’s failure to achieve targets may not be the result of insufficient </w:t>
      </w:r>
      <w:r w:rsidR="0060167A">
        <w:t>motivation in isolation</w:t>
      </w:r>
      <w:r>
        <w:t>. Dominion has publicly stated that incremental savings are becoming more expensive</w:t>
      </w:r>
      <w:r w:rsidR="00AB5B73">
        <w:t>,</w:t>
      </w:r>
      <w:r>
        <w:t xml:space="preserve"> with a 63</w:t>
      </w:r>
      <w:r w:rsidR="00AB5B73">
        <w:t>-</w:t>
      </w:r>
      <w:r w:rsidR="0025114A">
        <w:t>percent</w:t>
      </w:r>
      <w:r>
        <w:t xml:space="preserve"> cost increase to achieve 21</w:t>
      </w:r>
      <w:r w:rsidR="0025114A">
        <w:t xml:space="preserve"> percent</w:t>
      </w:r>
      <w:r>
        <w:t xml:space="preserve"> more </w:t>
      </w:r>
      <w:r w:rsidR="00895296">
        <w:t xml:space="preserve">net </w:t>
      </w:r>
      <w:r>
        <w:lastRenderedPageBreak/>
        <w:t>savings.</w:t>
      </w:r>
      <w:r>
        <w:rPr>
          <w:rStyle w:val="FootnoteReference"/>
        </w:rPr>
        <w:footnoteReference w:id="16"/>
      </w:r>
      <w:r>
        <w:t xml:space="preserve"> </w:t>
      </w:r>
      <w:r w:rsidRPr="003E6483">
        <w:t xml:space="preserve">While Dominion met </w:t>
      </w:r>
      <w:r>
        <w:t>prior</w:t>
      </w:r>
      <w:r w:rsidRPr="003E6483">
        <w:t xml:space="preserve"> targets on a gross savings basis, it </w:t>
      </w:r>
      <w:r>
        <w:t>continues to fall</w:t>
      </w:r>
      <w:r w:rsidRPr="003E6483">
        <w:t xml:space="preserve"> short on the net savings metric now required by the SCC.</w:t>
      </w:r>
      <w:r>
        <w:rPr>
          <w:rStyle w:val="FootnoteReference"/>
        </w:rPr>
        <w:footnoteReference w:id="17"/>
      </w:r>
      <w:r w:rsidRPr="003E6483">
        <w:t xml:space="preserve"> These shortfalls occurred despite substantial spending, </w:t>
      </w:r>
      <w:r>
        <w:t xml:space="preserve">potentially </w:t>
      </w:r>
      <w:r w:rsidRPr="003E6483">
        <w:t xml:space="preserve">indicating that </w:t>
      </w:r>
      <w:r w:rsidR="0060167A">
        <w:t>easily achievable</w:t>
      </w:r>
      <w:r w:rsidRPr="003E6483">
        <w:t xml:space="preserve"> efficiency opportunities may already be exhausted. </w:t>
      </w:r>
      <w:r w:rsidR="00895296">
        <w:t>It is important to note that the</w:t>
      </w:r>
      <w:r w:rsidR="000060D3">
        <w:t>se estimates of cost increases</w:t>
      </w:r>
      <w:r w:rsidR="00895296">
        <w:t xml:space="preserve"> are based on Dominion’s </w:t>
      </w:r>
      <w:r w:rsidR="000060D3">
        <w:t>own</w:t>
      </w:r>
      <w:r w:rsidR="00895296">
        <w:t xml:space="preserve"> cost</w:t>
      </w:r>
      <w:r w:rsidR="000060D3">
        <w:t xml:space="preserve"> forecasts and program structure</w:t>
      </w:r>
      <w:r w:rsidR="00895296">
        <w:t>. It is possible that with an improved EE program structure Dominion could achieve lower cost savings.</w:t>
      </w:r>
      <w:r w:rsidR="003D1DDC">
        <w:t xml:space="preserve"> </w:t>
      </w:r>
    </w:p>
    <w:p w14:paraId="5BAC36E4" w14:textId="40341EA2" w:rsidR="00F67D58" w:rsidRDefault="00F67D58" w:rsidP="00F67D58">
      <w:pPr>
        <w:pStyle w:val="Heading2"/>
      </w:pPr>
      <w:bookmarkStart w:id="10" w:name="_Toc194415767"/>
      <w:r>
        <w:t xml:space="preserve">Lessons for Future </w:t>
      </w:r>
      <w:r w:rsidR="0025114A">
        <w:t xml:space="preserve">EE </w:t>
      </w:r>
      <w:r>
        <w:t>Incentive Design</w:t>
      </w:r>
      <w:bookmarkEnd w:id="10"/>
    </w:p>
    <w:p w14:paraId="3CC3A503" w14:textId="67E35681" w:rsidR="0025114A" w:rsidRDefault="0025114A" w:rsidP="0025114A">
      <w:pPr>
        <w:pStyle w:val="BodyText"/>
      </w:pPr>
      <w:r>
        <w:t xml:space="preserve">Moving forward, it appears that Dominion will need to adjust its program </w:t>
      </w:r>
      <w:r w:rsidRPr="00700B75">
        <w:rPr>
          <w:rStyle w:val="BodyTextChar"/>
        </w:rPr>
        <w:t>strategies, including increased marketing efforts, stakeholder engagement, and modifications to incentive structures, to boost participation and ensure compliance with the SCC’s net savings requirement. Furthermore, stronger cost-control measures and enhanced evaluation of program efficiency will be necessary to prevent future overspending and improve overall performance in achieving mandated energy saving</w:t>
      </w:r>
      <w:r w:rsidRPr="001A3F1D">
        <w:t>s.</w:t>
      </w:r>
    </w:p>
    <w:p w14:paraId="6D2A1098" w14:textId="506303AD" w:rsidR="000060D3" w:rsidRDefault="0025114A" w:rsidP="004C69CD">
      <w:pPr>
        <w:pStyle w:val="BodyText"/>
      </w:pPr>
      <w:r>
        <w:t xml:space="preserve">Modified EE incentives could </w:t>
      </w:r>
      <w:r w:rsidR="004C69CD">
        <w:t>play a major</w:t>
      </w:r>
      <w:r>
        <w:t xml:space="preserve"> role in helping to promote achievement of EE targets. Among other options, the </w:t>
      </w:r>
      <w:r w:rsidR="00F666AA">
        <w:t xml:space="preserve">state </w:t>
      </w:r>
      <w:r>
        <w:t xml:space="preserve">could consider increasing the incentive earnings opportunity, introducing penalties, or both. We offer qualified support </w:t>
      </w:r>
      <w:r w:rsidR="00A96144">
        <w:t>for</w:t>
      </w:r>
      <w:r>
        <w:t xml:space="preserve"> modification of the incentive earnings structure to make this mechanism more </w:t>
      </w:r>
      <w:r w:rsidR="004A4174">
        <w:t>lucrative but</w:t>
      </w:r>
      <w:r>
        <w:t xml:space="preserve"> </w:t>
      </w:r>
      <w:r w:rsidR="004C69CD">
        <w:t>note that incorporating penalties for EE targets can come with certain potential downsides</w:t>
      </w:r>
      <w:r>
        <w:t xml:space="preserve">. </w:t>
      </w:r>
      <w:r w:rsidR="004C69CD">
        <w:t xml:space="preserve">While penalties can help to ensure that the subject utility does not neglect the target outcome, penalties may distort utility behavior – inducing the utility to push for easily achievable targets and generally encouraging an adversarial climate that can drain resources and run counter to the objective of collaborative engagement with all stakeholders. It is further worth noting that even if </w:t>
      </w:r>
      <w:r w:rsidR="000060D3">
        <w:t>penalties were</w:t>
      </w:r>
      <w:r w:rsidR="004C69CD">
        <w:t xml:space="preserve"> to be</w:t>
      </w:r>
      <w:r w:rsidR="000060D3">
        <w:t xml:space="preserve"> introduced, these would likely function as backstops to guard against substantially deficient EE performance rather tha</w:t>
      </w:r>
      <w:r w:rsidR="006F78BD">
        <w:t>n</w:t>
      </w:r>
      <w:r w:rsidR="000060D3">
        <w:t xml:space="preserve"> incentivizing achievement of high-end goals.</w:t>
      </w:r>
      <w:r w:rsidR="003C52CA">
        <w:rPr>
          <w:rStyle w:val="FootnoteReference"/>
        </w:rPr>
        <w:footnoteReference w:id="18"/>
      </w:r>
      <w:r w:rsidR="000060D3">
        <w:t xml:space="preserve"> </w:t>
      </w:r>
    </w:p>
    <w:p w14:paraId="3E2962ED" w14:textId="7FFF3863" w:rsidR="00A96144" w:rsidRDefault="001879CD" w:rsidP="001879CD">
      <w:pPr>
        <w:pStyle w:val="BodyText"/>
      </w:pPr>
      <w:r>
        <w:t xml:space="preserve">The SCC should consider modification of the EE incentive structure. </w:t>
      </w:r>
      <w:r w:rsidR="000060D3">
        <w:t xml:space="preserve">While we do not support increasing the EE PIM incentivizes in isolation, our recommendation, developed in more detail in the following section, is that the SCC consider reducing the allowed ROE on rate base while simultaneously increasing the earnings </w:t>
      </w:r>
      <w:r w:rsidR="000060D3">
        <w:rPr>
          <w:i/>
          <w:iCs/>
        </w:rPr>
        <w:t xml:space="preserve">opportunity </w:t>
      </w:r>
      <w:r w:rsidR="000060D3">
        <w:t xml:space="preserve">on EE PIMs (and potentially on other PIMs, too), with the implication that achieving EE incentive awards would be a necessary component of achieving revenue sufficiency. Under </w:t>
      </w:r>
      <w:r w:rsidR="000060D3">
        <w:lastRenderedPageBreak/>
        <w:t>these conditions, we believe that the Company might more aggressively pursue EE targets. Moreover, by reducing the allowed ROE, the Company would have less innate incentive to pursue capital investments – an incentive that may be operating behind the scenes to blunt the Company’s drive to achieve EE targets</w:t>
      </w:r>
      <w:r w:rsidR="00B36F37">
        <w:t xml:space="preserve"> because EE</w:t>
      </w:r>
      <w:r w:rsidR="000060D3">
        <w:t xml:space="preserve"> tend</w:t>
      </w:r>
      <w:r w:rsidR="00B36F37">
        <w:t>s</w:t>
      </w:r>
      <w:r w:rsidR="000060D3">
        <w:t xml:space="preserve"> to reduce the need for future capital investments. </w:t>
      </w:r>
    </w:p>
    <w:p w14:paraId="06A182C7" w14:textId="7AD54E7B" w:rsidR="005521AA" w:rsidRDefault="0025114A" w:rsidP="005521AA">
      <w:pPr>
        <w:pStyle w:val="Heading1"/>
      </w:pPr>
      <w:bookmarkStart w:id="11" w:name="_Ref194078792"/>
      <w:bookmarkStart w:id="12" w:name="_Toc194415768"/>
      <w:r>
        <w:t xml:space="preserve">General </w:t>
      </w:r>
      <w:r w:rsidR="005521AA">
        <w:t>Guidance for Coordinating PIMs and ROE</w:t>
      </w:r>
      <w:bookmarkEnd w:id="11"/>
      <w:bookmarkEnd w:id="12"/>
    </w:p>
    <w:p w14:paraId="08D02AEF" w14:textId="7FA425B6" w:rsidR="00A96144" w:rsidRDefault="00A96144" w:rsidP="000060D3">
      <w:pPr>
        <w:spacing w:after="0"/>
        <w:contextualSpacing/>
      </w:pPr>
      <w:r>
        <w:t>While there may be many factors affecting the success of incentive mechanisms, as the EE example demonstrates, the core challenge in designing incentives is always the same – making incentives large enough to motivate utility behavior without being too large or exacerbating utility capital bias. We suggest that the SCC address this balancing challenge by coordinating</w:t>
      </w:r>
      <w:r w:rsidR="00B36F37">
        <w:t xml:space="preserve"> </w:t>
      </w:r>
      <w:r>
        <w:t>reducing</w:t>
      </w:r>
      <w:r w:rsidR="00B36F37">
        <w:t xml:space="preserve"> the utility’s</w:t>
      </w:r>
      <w:r>
        <w:t xml:space="preserve"> ROE and increasing</w:t>
      </w:r>
      <w:r w:rsidR="00B36F37">
        <w:t xml:space="preserve"> potential</w:t>
      </w:r>
      <w:r>
        <w:t xml:space="preserve"> PIM incentives. By making PIMs a larger part of the financial calculus, the SCC can ensure that subject utilities are motivated to pursue targeted goals, and that </w:t>
      </w:r>
      <w:r w:rsidR="000060D3">
        <w:t xml:space="preserve">any </w:t>
      </w:r>
      <w:r>
        <w:t xml:space="preserve">capital bias is </w:t>
      </w:r>
      <w:r w:rsidR="00C05EB6">
        <w:t>reduced</w:t>
      </w:r>
      <w:r>
        <w:t xml:space="preserve">. Additional specific guidance is provided below. </w:t>
      </w:r>
    </w:p>
    <w:p w14:paraId="38F89C2E" w14:textId="0AD8CE6D" w:rsidR="005521AA" w:rsidRDefault="00C05EB6" w:rsidP="00A96144">
      <w:pPr>
        <w:pStyle w:val="Heading2"/>
      </w:pPr>
      <w:bookmarkStart w:id="13" w:name="_Toc194415769"/>
      <w:r>
        <w:t xml:space="preserve">Calibrating the </w:t>
      </w:r>
      <w:r w:rsidR="00A96144">
        <w:t>ROE and PIMs</w:t>
      </w:r>
      <w:bookmarkEnd w:id="13"/>
      <w:r w:rsidR="00A96144">
        <w:t xml:space="preserve"> </w:t>
      </w:r>
    </w:p>
    <w:p w14:paraId="07960F48" w14:textId="7D98FA06" w:rsidR="005521AA" w:rsidRDefault="005521AA" w:rsidP="000060D3">
      <w:pPr>
        <w:spacing w:after="0"/>
        <w:contextualSpacing/>
      </w:pPr>
      <w:r w:rsidRPr="00D61878">
        <w:t>To mitigate the risk that PIMs exacerbate capital bias through inflated returns, regulators should carefully monitor and constrain the combined effect of base ROE and PIM-based ROE adders. Specifically, the total effective ROE</w:t>
      </w:r>
      <w:r>
        <w:t xml:space="preserve">, </w:t>
      </w:r>
      <w:r w:rsidRPr="00D61878">
        <w:t>including any performance-based incentives</w:t>
      </w:r>
      <w:r>
        <w:t xml:space="preserve">, </w:t>
      </w:r>
      <w:r w:rsidRPr="00D61878">
        <w:t xml:space="preserve">should be benchmarked against the utility’s actual cost of capital to ensure that it does not create an outsized incentive for capital spending. As noted in the literature, when </w:t>
      </w:r>
      <w:r w:rsidR="00C05EB6">
        <w:t>a utility’s</w:t>
      </w:r>
      <w:r w:rsidR="00C05EB6" w:rsidRPr="00D61878">
        <w:t xml:space="preserve"> </w:t>
      </w:r>
      <w:r w:rsidRPr="00D61878">
        <w:t>ROE significantly exceed</w:t>
      </w:r>
      <w:r w:rsidR="00C05EB6">
        <w:t>s</w:t>
      </w:r>
      <w:r w:rsidRPr="00D61878">
        <w:t xml:space="preserve"> the cost of capital, the resulting surplus return can </w:t>
      </w:r>
      <w:r w:rsidR="00C05EB6">
        <w:t>skew</w:t>
      </w:r>
      <w:r w:rsidR="00C05EB6" w:rsidRPr="00D61878">
        <w:t xml:space="preserve"> </w:t>
      </w:r>
      <w:r w:rsidRPr="00D61878">
        <w:t>investment decisions</w:t>
      </w:r>
      <w:r w:rsidR="00C05EB6">
        <w:t xml:space="preserve"> toward capital investments</w:t>
      </w:r>
      <w:r>
        <w:t>.</w:t>
      </w:r>
      <w:r>
        <w:rPr>
          <w:rStyle w:val="FootnoteReference"/>
        </w:rPr>
        <w:footnoteReference w:id="19"/>
      </w:r>
      <w:r w:rsidRPr="00BD7437">
        <w:t xml:space="preserve"> </w:t>
      </w:r>
      <w:r>
        <w:t>I</w:t>
      </w:r>
      <w:r w:rsidRPr="00BD7437">
        <w:t>n some cases, regulators may justify higher returns—above</w:t>
      </w:r>
      <w:r w:rsidR="00950400">
        <w:t xml:space="preserve"> the</w:t>
      </w:r>
      <w:r w:rsidRPr="00BD7437">
        <w:t xml:space="preserve"> cost of capital—as a reward for truly exceptional performance, especially in areas such as customer satisfaction, decarbonization leadership, or system reliability. However, such exceptions should be rare, well-defined, and demonstrably beneficial to customers.</w:t>
      </w:r>
    </w:p>
    <w:p w14:paraId="05EA9EDD" w14:textId="14195737" w:rsidR="00A96144" w:rsidRDefault="00A96144" w:rsidP="00A96144">
      <w:pPr>
        <w:pStyle w:val="Heading2"/>
      </w:pPr>
      <w:bookmarkStart w:id="14" w:name="_Toc194415770"/>
      <w:r>
        <w:t xml:space="preserve">Considering Other Incentive Structures </w:t>
      </w:r>
      <w:r w:rsidR="004261B6">
        <w:t>and Complementary Solutions</w:t>
      </w:r>
      <w:bookmarkEnd w:id="14"/>
    </w:p>
    <w:p w14:paraId="5C48C969" w14:textId="762924EE" w:rsidR="00C7558A" w:rsidRDefault="004261B6" w:rsidP="000060D3">
      <w:pPr>
        <w:spacing w:after="0"/>
        <w:contextualSpacing/>
      </w:pPr>
      <w:r>
        <w:t xml:space="preserve">To address the challenge of </w:t>
      </w:r>
      <w:r w:rsidR="001B614A">
        <w:t xml:space="preserve">counting existing financial </w:t>
      </w:r>
      <w:r w:rsidR="001B614A" w:rsidRPr="001B614A">
        <w:rPr>
          <w:i/>
          <w:iCs/>
        </w:rPr>
        <w:t>disincentives</w:t>
      </w:r>
      <w:r w:rsidR="001B614A">
        <w:t xml:space="preserve"> to take the desired actions</w:t>
      </w:r>
      <w:r>
        <w:t>, certain other incentive approaches and complementary solutions may be helpful</w:t>
      </w:r>
      <w:r w:rsidR="00C7558A">
        <w:t>:</w:t>
      </w:r>
    </w:p>
    <w:p w14:paraId="5E2045FB" w14:textId="77777777" w:rsidR="00C7558A" w:rsidRDefault="00C7558A" w:rsidP="000060D3">
      <w:pPr>
        <w:spacing w:after="0"/>
        <w:contextualSpacing/>
      </w:pPr>
    </w:p>
    <w:p w14:paraId="7729AD6F" w14:textId="7F0D187B" w:rsidR="004261B6" w:rsidRDefault="00C7558A" w:rsidP="00C7558A">
      <w:pPr>
        <w:pStyle w:val="ListParagraph"/>
        <w:numPr>
          <w:ilvl w:val="0"/>
          <w:numId w:val="34"/>
        </w:numPr>
        <w:spacing w:after="160"/>
      </w:pPr>
      <w:r>
        <w:t>Shared savings mechanisms (SSM) may be effective in</w:t>
      </w:r>
      <w:r w:rsidR="004261B6">
        <w:t xml:space="preserve"> </w:t>
      </w:r>
      <w:r>
        <w:t xml:space="preserve">incentivizing actions to reduce utility spending, including capital expenditures. </w:t>
      </w:r>
      <w:r w:rsidR="00C05EB6">
        <w:t>These mechanisms allow the utility to retain a portion of the net benefits</w:t>
      </w:r>
      <w:r w:rsidR="00A657F9">
        <w:t xml:space="preserve"> achieved</w:t>
      </w:r>
      <w:r w:rsidR="001B614A">
        <w:t>, thereby encouraging maximization of net benefits and not simply rewarding spending irrespective of benefits.</w:t>
      </w:r>
      <w:r w:rsidR="00C05EB6">
        <w:t xml:space="preserve"> </w:t>
      </w:r>
      <w:r>
        <w:t xml:space="preserve">SSMs have been </w:t>
      </w:r>
      <w:r w:rsidR="00A657F9">
        <w:lastRenderedPageBreak/>
        <w:t xml:space="preserve">widely </w:t>
      </w:r>
      <w:r>
        <w:t>deployed</w:t>
      </w:r>
      <w:r w:rsidR="00A657F9">
        <w:t xml:space="preserve"> across the country. For example, i</w:t>
      </w:r>
      <w:r>
        <w:t>n Hawaii</w:t>
      </w:r>
      <w:r w:rsidR="00A657F9">
        <w:t xml:space="preserve"> SSMs are used</w:t>
      </w:r>
      <w:r>
        <w:t xml:space="preserve"> to incentivize the investor-owned utilities to reduce spending on pass-through expenses such as fuel and purchased power.</w:t>
      </w:r>
      <w:r>
        <w:rPr>
          <w:rStyle w:val="FootnoteReference"/>
        </w:rPr>
        <w:footnoteReference w:id="20"/>
      </w:r>
      <w:r w:rsidRPr="002D5744">
        <w:t xml:space="preserve"> </w:t>
      </w:r>
      <w:r>
        <w:t xml:space="preserve"> </w:t>
      </w:r>
    </w:p>
    <w:p w14:paraId="6825F338" w14:textId="2C50A93A" w:rsidR="004261B6" w:rsidRDefault="00C7558A" w:rsidP="00C7558A">
      <w:pPr>
        <w:pStyle w:val="ListParagraph"/>
        <w:numPr>
          <w:ilvl w:val="0"/>
          <w:numId w:val="34"/>
        </w:numPr>
        <w:spacing w:after="160"/>
      </w:pPr>
      <w:r>
        <w:t>Mechanisms that provide the opportunity for the utility to earn a return on spending may also help to counter the capital bias. In Hawaii, the Exception</w:t>
      </w:r>
      <w:r w:rsidR="00A657F9">
        <w:t>al</w:t>
      </w:r>
      <w:r>
        <w:t xml:space="preserve"> Project Recovery </w:t>
      </w:r>
      <w:r w:rsidR="004A4174">
        <w:t>Mechanism allows</w:t>
      </w:r>
      <w:r>
        <w:t xml:space="preserve"> the utilities to earn a return on </w:t>
      </w:r>
      <w:r w:rsidR="00A657F9">
        <w:t xml:space="preserve">non-capital </w:t>
      </w:r>
      <w:r>
        <w:t>spending just as they might on capital investments.</w:t>
      </w:r>
      <w:r w:rsidRPr="00C7558A">
        <w:rPr>
          <w:rStyle w:val="FootnoteReference"/>
        </w:rPr>
        <w:t xml:space="preserve"> </w:t>
      </w:r>
      <w:r>
        <w:rPr>
          <w:rStyle w:val="FootnoteReference"/>
        </w:rPr>
        <w:footnoteReference w:id="21"/>
      </w:r>
      <w:r w:rsidRPr="002D5744">
        <w:t xml:space="preserve"> </w:t>
      </w:r>
      <w:r>
        <w:t xml:space="preserve"> </w:t>
      </w:r>
    </w:p>
    <w:p w14:paraId="3A0D28B1" w14:textId="27B55D9B" w:rsidR="000060D3" w:rsidRDefault="00C7558A" w:rsidP="000060D3">
      <w:pPr>
        <w:spacing w:after="0"/>
        <w:contextualSpacing/>
      </w:pPr>
      <w:r>
        <w:t xml:space="preserve">It is important to note that SSMs and special cost recovery treatment can coexist with the efforts to coordinate ROE and PIM incentives, maximizing the effectiveness of the regulatory regime. </w:t>
      </w:r>
    </w:p>
    <w:p w14:paraId="2BE87AB4" w14:textId="1B24F7AC" w:rsidR="00C97095" w:rsidRPr="000B4CE9" w:rsidRDefault="00C97095" w:rsidP="000B4CE9">
      <w:pPr>
        <w:pStyle w:val="Heading2"/>
      </w:pPr>
      <w:bookmarkStart w:id="15" w:name="_Toc194415771"/>
      <w:r>
        <w:t>Including Penalties and Calibrating Targets</w:t>
      </w:r>
      <w:bookmarkEnd w:id="15"/>
      <w:r>
        <w:t xml:space="preserve"> </w:t>
      </w:r>
    </w:p>
    <w:p w14:paraId="78558B6B" w14:textId="77777777" w:rsidR="000B4CE9" w:rsidRDefault="000B4CE9" w:rsidP="000060D3">
      <w:pPr>
        <w:spacing w:after="160"/>
        <w:contextualSpacing/>
      </w:pPr>
      <w:r w:rsidRPr="00A13391">
        <w:t xml:space="preserve">The discussion </w:t>
      </w:r>
      <w:r>
        <w:t xml:space="preserve">thus far has mainly focused on the role of positive incentive earnings opportunities. However, in certain cases, PIMs should be specified to include penalties – either as penalty-only mechanisms or symmetrically, with both penalties and rewards. </w:t>
      </w:r>
    </w:p>
    <w:p w14:paraId="45496E1A" w14:textId="77777777" w:rsidR="00C7558A" w:rsidRDefault="00C7558A" w:rsidP="000060D3">
      <w:pPr>
        <w:spacing w:after="160"/>
        <w:contextualSpacing/>
      </w:pPr>
    </w:p>
    <w:p w14:paraId="1BFA4FCE" w14:textId="73D4C9AA" w:rsidR="000B4CE9" w:rsidRDefault="000B4CE9" w:rsidP="000060D3">
      <w:pPr>
        <w:spacing w:after="160"/>
        <w:contextualSpacing/>
      </w:pPr>
      <w:r>
        <w:t xml:space="preserve">Introducing penalties may complicate the coordination of PIMs with the authorized ROE. However, the same general principles elucidated above still apply: First, the combined earnings effects of PIMs and the return on rate base should not significantly exceed the cost of capital. Second, to the extent that the subject utility has an opportunity for earnings exceeding the cost of capital, this should be possible only with exceptional performance leading to incremental PIM earnings. </w:t>
      </w:r>
    </w:p>
    <w:p w14:paraId="6CD46441" w14:textId="77777777" w:rsidR="000B4CE9" w:rsidRDefault="000B4CE9" w:rsidP="000060D3">
      <w:pPr>
        <w:spacing w:after="160"/>
        <w:contextualSpacing/>
      </w:pPr>
    </w:p>
    <w:p w14:paraId="2B170A53" w14:textId="77777777" w:rsidR="000B4CE9" w:rsidRDefault="000B4CE9" w:rsidP="000060D3">
      <w:pPr>
        <w:spacing w:after="160"/>
        <w:contextualSpacing/>
      </w:pPr>
      <w:r>
        <w:t>Specific guidance for coordinating PIMs with penalties with ROE is provided below:</w:t>
      </w:r>
    </w:p>
    <w:p w14:paraId="2DF3DD9B" w14:textId="4C3CF1A9" w:rsidR="000B4CE9" w:rsidRDefault="000B4CE9" w:rsidP="000B4CE9">
      <w:pPr>
        <w:pStyle w:val="ListParagraph"/>
        <w:numPr>
          <w:ilvl w:val="0"/>
          <w:numId w:val="33"/>
        </w:numPr>
        <w:spacing w:after="160" w:line="259" w:lineRule="auto"/>
      </w:pPr>
      <w:r>
        <w:t xml:space="preserve">For PIMs specified as penalty-only mechanisms, if penalty thresholds are set at baseline performance or worse, then </w:t>
      </w:r>
      <w:r w:rsidR="00496AA3">
        <w:t xml:space="preserve">the allowed </w:t>
      </w:r>
      <w:r>
        <w:t xml:space="preserve">ROE should not be adjusted upward by a corresponding amount, assuming all else is equal. If penalty thresholds are set at </w:t>
      </w:r>
      <w:r w:rsidR="00496AA3">
        <w:t>a level representing</w:t>
      </w:r>
      <w:r>
        <w:t xml:space="preserve"> exceptional performance</w:t>
      </w:r>
      <w:r w:rsidR="00496AA3">
        <w:t xml:space="preserve"> (with anything less being penalized</w:t>
      </w:r>
      <w:r>
        <w:t xml:space="preserve">), then </w:t>
      </w:r>
      <w:r w:rsidR="00496AA3">
        <w:t xml:space="preserve">the </w:t>
      </w:r>
      <w:r>
        <w:t xml:space="preserve">ROE </w:t>
      </w:r>
      <w:r w:rsidR="00496AA3">
        <w:t>should be set at the higher end of the zone of reasonableness</w:t>
      </w:r>
      <w:r>
        <w:t xml:space="preserve">, such that failing to achieve the aspirational PIM targets will result in penalization but not in ROE falling below the </w:t>
      </w:r>
      <w:r w:rsidR="00496AA3">
        <w:t>range of reasonableness.</w:t>
      </w:r>
    </w:p>
    <w:p w14:paraId="0A5C037C" w14:textId="2F71B4DD" w:rsidR="00CB0112" w:rsidRPr="00D02929" w:rsidRDefault="000B4CE9" w:rsidP="003D1DDC">
      <w:pPr>
        <w:pStyle w:val="ListParagraph"/>
        <w:numPr>
          <w:ilvl w:val="0"/>
          <w:numId w:val="33"/>
        </w:numPr>
        <w:spacing w:after="160" w:line="259" w:lineRule="auto"/>
      </w:pPr>
      <w:r>
        <w:t xml:space="preserve">For PIMs specified with both penalties and incentives, the same general guidelines as provided in (1) apply, but these guidelines must be balanced with consideration of the likelihood of positive earnings. If positive earnings are reasonably likely, for example, then ROE may be adjusted downward by an appropriate amount even if penalties are </w:t>
      </w:r>
      <w:r>
        <w:lastRenderedPageBreak/>
        <w:t xml:space="preserve">set at the level of baseline performance or worse (and therefore not likely to be imposed/relatively easy to avoid). </w:t>
      </w:r>
      <w:r w:rsidRPr="003D1DDC">
        <w:t xml:space="preserve"> </w:t>
      </w:r>
      <w:r w:rsidR="00F67D58" w:rsidRPr="003D1DDC">
        <w:t xml:space="preserve"> </w:t>
      </w:r>
    </w:p>
    <w:sectPr w:rsidR="00CB0112" w:rsidRPr="00D02929" w:rsidSect="00D02929">
      <w:footerReference w:type="default" r:id="rId21"/>
      <w:footerReference w:type="first" r:id="rId22"/>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DEC28" w14:textId="77777777" w:rsidR="001F02F3" w:rsidRDefault="001F02F3" w:rsidP="005430F6">
      <w:r>
        <w:separator/>
      </w:r>
    </w:p>
    <w:p w14:paraId="69A96B3C" w14:textId="77777777" w:rsidR="001F02F3" w:rsidRDefault="001F02F3" w:rsidP="005430F6"/>
    <w:p w14:paraId="2383B92F" w14:textId="77777777" w:rsidR="001F02F3" w:rsidRDefault="001F02F3" w:rsidP="005430F6"/>
  </w:endnote>
  <w:endnote w:type="continuationSeparator" w:id="0">
    <w:p w14:paraId="0E0C5A24" w14:textId="77777777" w:rsidR="001F02F3" w:rsidRDefault="001F02F3" w:rsidP="005430F6">
      <w:r>
        <w:continuationSeparator/>
      </w:r>
    </w:p>
    <w:p w14:paraId="0AEACBAE" w14:textId="77777777" w:rsidR="001F02F3" w:rsidRDefault="001F02F3" w:rsidP="005430F6"/>
    <w:p w14:paraId="6C949951" w14:textId="77777777" w:rsidR="001F02F3" w:rsidRDefault="001F02F3" w:rsidP="0054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ADBC" w14:textId="77777777" w:rsidR="00A07D24" w:rsidRDefault="00A07D24" w:rsidP="005430F6">
    <w:pPr>
      <w:pStyle w:val="Footer"/>
    </w:pPr>
  </w:p>
  <w:p w14:paraId="47DFF577" w14:textId="77777777" w:rsidR="004366A1" w:rsidRDefault="004366A1" w:rsidP="005430F6"/>
  <w:p w14:paraId="75D8ACD8"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4BC9" w14:textId="77777777" w:rsidR="00AC519B" w:rsidRDefault="00227681" w:rsidP="0034449E">
    <w:pPr>
      <w:pStyle w:val="Footer"/>
      <w:tabs>
        <w:tab w:val="clear" w:pos="4680"/>
        <w:tab w:val="right" w:pos="8820"/>
      </w:tabs>
    </w:pPr>
    <w:r>
      <w:drawing>
        <wp:anchor distT="0" distB="0" distL="114300" distR="114300" simplePos="0" relativeHeight="251666432" behindDoc="0" locked="0" layoutInCell="1" allowOverlap="1" wp14:anchorId="15C81A89" wp14:editId="38AEBFE7">
          <wp:simplePos x="0" y="0"/>
          <wp:positionH relativeFrom="column">
            <wp:posOffset>-274320</wp:posOffset>
          </wp:positionH>
          <wp:positionV relativeFrom="page">
            <wp:posOffset>9418320</wp:posOffset>
          </wp:positionV>
          <wp:extent cx="219456" cy="219456"/>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Synapse Energy Economics,</w:t>
    </w:r>
    <w:r w:rsidR="005762A2" w:rsidRPr="00A07D24">
      <w:t xml:space="preserve"> Inc.</w:t>
    </w:r>
    <w:r w:rsidR="005762A2"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17367E" w:rsidRPr="005430F6">
              <w:rPr>
                <w:i/>
              </w:rPr>
              <w:t>Type Title of Report here</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6ABB" w14:textId="77777777" w:rsidR="000C543A" w:rsidRDefault="00227681" w:rsidP="00DB448F">
    <w:pPr>
      <w:tabs>
        <w:tab w:val="left" w:pos="5760"/>
      </w:tabs>
      <w:autoSpaceDE w:val="0"/>
      <w:autoSpaceDN w:val="0"/>
      <w:adjustRightInd w:val="0"/>
      <w:spacing w:after="0" w:line="320" w:lineRule="exact"/>
      <w:ind w:right="-360"/>
      <w:rPr>
        <w:rFonts w:cs="Calibri"/>
        <w:noProof/>
        <w:color w:val="555555"/>
      </w:rPr>
    </w:pPr>
    <w:r>
      <w:rPr>
        <w:noProof/>
      </w:rPr>
      <w:drawing>
        <wp:anchor distT="0" distB="0" distL="114300" distR="114300" simplePos="0" relativeHeight="251664384" behindDoc="0" locked="0" layoutInCell="1" allowOverlap="1" wp14:anchorId="50759303" wp14:editId="4995B008">
          <wp:simplePos x="0" y="0"/>
          <wp:positionH relativeFrom="column">
            <wp:posOffset>3657600</wp:posOffset>
          </wp:positionH>
          <wp:positionV relativeFrom="page">
            <wp:posOffset>7367081</wp:posOffset>
          </wp:positionV>
          <wp:extent cx="2189038" cy="62257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97283" cy="624915"/>
                  </a:xfrm>
                  <a:prstGeom prst="rect">
                    <a:avLst/>
                  </a:prstGeom>
                </pic:spPr>
              </pic:pic>
            </a:graphicData>
          </a:graphic>
          <wp14:sizeRelH relativeFrom="page">
            <wp14:pctWidth>0</wp14:pctWidth>
          </wp14:sizeRelH>
          <wp14:sizeRelV relativeFrom="page">
            <wp14:pctHeight>0</wp14:pctHeight>
          </wp14:sizeRelV>
        </wp:anchor>
      </w:drawing>
    </w:r>
  </w:p>
  <w:p w14:paraId="7AD06418" w14:textId="77777777" w:rsidR="000C543A" w:rsidRDefault="000C543A" w:rsidP="006F0579">
    <w:pPr>
      <w:autoSpaceDE w:val="0"/>
      <w:autoSpaceDN w:val="0"/>
      <w:adjustRightInd w:val="0"/>
      <w:spacing w:after="0" w:line="320" w:lineRule="exact"/>
      <w:ind w:left="5670" w:right="-360"/>
      <w:rPr>
        <w:rFonts w:cs="Calibri"/>
        <w:noProof/>
        <w:color w:val="555555"/>
      </w:rPr>
    </w:pPr>
  </w:p>
  <w:p w14:paraId="279CD698" w14:textId="77777777" w:rsidR="000C543A" w:rsidRDefault="000C543A" w:rsidP="006F0579">
    <w:pPr>
      <w:autoSpaceDE w:val="0"/>
      <w:autoSpaceDN w:val="0"/>
      <w:adjustRightInd w:val="0"/>
      <w:spacing w:after="0" w:line="320" w:lineRule="exact"/>
      <w:ind w:left="5670" w:right="-360"/>
      <w:rPr>
        <w:rFonts w:cs="Calibri"/>
        <w:noProof/>
        <w:color w:val="555555"/>
      </w:rPr>
    </w:pPr>
  </w:p>
  <w:p w14:paraId="46E15205" w14:textId="77777777" w:rsidR="006F0579" w:rsidRPr="00DB448F" w:rsidRDefault="006F0579" w:rsidP="0037356A">
    <w:pPr>
      <w:autoSpaceDE w:val="0"/>
      <w:autoSpaceDN w:val="0"/>
      <w:adjustRightInd w:val="0"/>
      <w:spacing w:after="0" w:line="320" w:lineRule="exact"/>
      <w:ind w:right="-360"/>
      <w:rPr>
        <w:rFonts w:cs="Calibri"/>
        <w:color w:val="555555"/>
      </w:rPr>
    </w:pPr>
  </w:p>
  <w:p w14:paraId="4D146AA0" w14:textId="77777777" w:rsidR="00DB448F" w:rsidRPr="00DB448F" w:rsidRDefault="00DB448F" w:rsidP="00DB448F">
    <w:pPr>
      <w:autoSpaceDE w:val="0"/>
      <w:autoSpaceDN w:val="0"/>
      <w:adjustRightInd w:val="0"/>
      <w:spacing w:after="0" w:line="240" w:lineRule="auto"/>
      <w:ind w:left="5760" w:right="-360"/>
      <w:rPr>
        <w:rFonts w:cs="Calibri"/>
        <w:color w:val="555555"/>
        <w:sz w:val="18"/>
      </w:rPr>
    </w:pPr>
  </w:p>
  <w:p w14:paraId="234B49AE" w14:textId="77777777" w:rsidR="00D53C20" w:rsidRPr="000C543A" w:rsidRDefault="00D53C20" w:rsidP="00DB448F">
    <w:pPr>
      <w:autoSpaceDE w:val="0"/>
      <w:autoSpaceDN w:val="0"/>
      <w:adjustRightInd w:val="0"/>
      <w:spacing w:after="0" w:line="320" w:lineRule="exact"/>
      <w:ind w:left="5760" w:right="-360"/>
      <w:rPr>
        <w:rFonts w:cs="Calibri"/>
        <w:color w:val="555555"/>
      </w:rPr>
    </w:pPr>
    <w:r w:rsidRPr="000C543A">
      <w:rPr>
        <w:rFonts w:cs="Calibri"/>
        <w:color w:val="555555"/>
      </w:rPr>
      <w:t xml:space="preserve">485 Massachusetts Avenue, Suite </w:t>
    </w:r>
    <w:r w:rsidR="00037CF9">
      <w:rPr>
        <w:rFonts w:cs="Calibri"/>
        <w:color w:val="555555"/>
      </w:rPr>
      <w:t>3</w:t>
    </w:r>
    <w:r w:rsidRPr="000C543A">
      <w:rPr>
        <w:rFonts w:cs="Calibri"/>
        <w:color w:val="555555"/>
      </w:rPr>
      <w:t xml:space="preserve"> Cambridge, Massachusetts 02139</w:t>
    </w:r>
  </w:p>
  <w:p w14:paraId="1A564B9D" w14:textId="77777777" w:rsidR="00D53C20" w:rsidRPr="00D53C20" w:rsidRDefault="00D53C20" w:rsidP="00DB448F">
    <w:pPr>
      <w:autoSpaceDE w:val="0"/>
      <w:autoSpaceDN w:val="0"/>
      <w:adjustRightInd w:val="0"/>
      <w:spacing w:after="0" w:line="240" w:lineRule="auto"/>
      <w:ind w:left="5760" w:right="-360"/>
      <w:rPr>
        <w:rFonts w:cs="Calibri"/>
        <w:color w:val="555555"/>
        <w:sz w:val="18"/>
      </w:rPr>
    </w:pPr>
  </w:p>
  <w:p w14:paraId="7B9F90BC" w14:textId="77777777" w:rsidR="000641B9" w:rsidRDefault="001E5A66" w:rsidP="00DB448F">
    <w:pPr>
      <w:pStyle w:val="Header"/>
      <w:tabs>
        <w:tab w:val="clear" w:pos="4680"/>
      </w:tabs>
      <w:spacing w:line="320" w:lineRule="exact"/>
      <w:ind w:left="5760" w:right="-360"/>
      <w:rPr>
        <w:rFonts w:cs="Calibri"/>
        <w:color w:val="555555"/>
      </w:rPr>
    </w:pPr>
    <w:r>
      <w:rPr>
        <w:noProof/>
      </w:rPr>
      <mc:AlternateContent>
        <mc:Choice Requires="wps">
          <w:drawing>
            <wp:anchor distT="0" distB="0" distL="114300" distR="114300" simplePos="0" relativeHeight="251661312" behindDoc="1" locked="1" layoutInCell="1" allowOverlap="1" wp14:anchorId="0E8F09DC" wp14:editId="207A066E">
              <wp:simplePos x="0" y="0"/>
              <wp:positionH relativeFrom="column">
                <wp:posOffset>-228600</wp:posOffset>
              </wp:positionH>
              <wp:positionV relativeFrom="page">
                <wp:posOffset>9170035</wp:posOffset>
              </wp:positionV>
              <wp:extent cx="6428105" cy="0"/>
              <wp:effectExtent l="0" t="0" r="0" b="0"/>
              <wp:wrapTopAndBottom/>
              <wp:docPr id="4" name="Straight Connector 4"/>
              <wp:cNvGraphicFramePr/>
              <a:graphic xmlns:a="http://schemas.openxmlformats.org/drawingml/2006/main">
                <a:graphicData uri="http://schemas.microsoft.com/office/word/2010/wordprocessingShape">
                  <wps:wsp>
                    <wps:cNvCnPr/>
                    <wps:spPr>
                      <a:xfrm>
                        <a:off x="0" y="0"/>
                        <a:ext cx="6428105"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324A820E"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pt,722.05pt" to="488.15pt,7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" strokecolor="#f8ab48 [3206]" strokeweight="2pt">
              <w10:wrap type="topAndBottom" anchory="page"/>
              <w10:anchorlock/>
            </v:line>
          </w:pict>
        </mc:Fallback>
      </mc:AlternateContent>
    </w:r>
    <w:r w:rsidR="00D53C20" w:rsidRPr="000C543A">
      <w:rPr>
        <w:rFonts w:cs="Calibri"/>
        <w:color w:val="555555"/>
      </w:rPr>
      <w:t xml:space="preserve">617.661.3248 | </w:t>
    </w:r>
    <w:hyperlink r:id="rId2" w:history="1">
      <w:r w:rsidR="00445F8E" w:rsidRPr="000C543A">
        <w:rPr>
          <w:rFonts w:cs="Calibri"/>
          <w:color w:val="555555"/>
        </w:rPr>
        <w:t>www.synapse-energy.com</w:t>
      </w:r>
    </w:hyperlink>
  </w:p>
  <w:p w14:paraId="3380802C" w14:textId="77777777" w:rsidR="002000FA" w:rsidRDefault="002000FA" w:rsidP="00DB448F">
    <w:pPr>
      <w:pStyle w:val="Header"/>
      <w:tabs>
        <w:tab w:val="clear" w:pos="4680"/>
      </w:tabs>
      <w:spacing w:line="320" w:lineRule="exact"/>
      <w:ind w:left="5760" w:right="-360"/>
      <w:rPr>
        <w:rFonts w:cs="Calibri"/>
        <w:color w:val="555555"/>
      </w:rPr>
    </w:pPr>
  </w:p>
  <w:p w14:paraId="63C1E5D5" w14:textId="77777777" w:rsidR="007773D1" w:rsidRPr="000C543A" w:rsidRDefault="007773D1" w:rsidP="00DB448F">
    <w:pPr>
      <w:pStyle w:val="Header"/>
      <w:tabs>
        <w:tab w:val="clear" w:pos="4680"/>
      </w:tabs>
      <w:spacing w:line="320" w:lineRule="exact"/>
      <w:ind w:left="5760" w:right="-360"/>
      <w:rPr>
        <w:rFonts w:cs="Calibri"/>
        <w:color w:val="555555"/>
      </w:rPr>
    </w:pPr>
  </w:p>
  <w:p w14:paraId="209B1205"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BC01" w14:textId="77777777" w:rsidR="00D26961" w:rsidRPr="00AB4DDD" w:rsidRDefault="00D26961" w:rsidP="00AB4DD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A2C9" w14:textId="69F2AF29" w:rsidR="00AB4DDD" w:rsidRDefault="00AB4DDD" w:rsidP="0027410A">
    <w:pPr>
      <w:pStyle w:val="Footer"/>
      <w:pBdr>
        <w:top w:val="single" w:sz="4" w:space="3" w:color="18224A" w:themeColor="accent5"/>
      </w:pBdr>
      <w:tabs>
        <w:tab w:val="clear" w:pos="4680"/>
        <w:tab w:val="right" w:pos="8820"/>
      </w:tabs>
    </w:pPr>
    <w:r>
      <w:drawing>
        <wp:anchor distT="0" distB="0" distL="114300" distR="114300" simplePos="0" relativeHeight="251686912" behindDoc="0" locked="0" layoutInCell="1" allowOverlap="1" wp14:anchorId="29033D6A" wp14:editId="7C57D17D">
          <wp:simplePos x="0" y="0"/>
          <wp:positionH relativeFrom="column">
            <wp:posOffset>-274320</wp:posOffset>
          </wp:positionH>
          <wp:positionV relativeFrom="page">
            <wp:posOffset>9418320</wp:posOffset>
          </wp:positionV>
          <wp:extent cx="219456" cy="219456"/>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Synapse Energy Economics,</w:t>
    </w:r>
    <w:r w:rsidRPr="00A07D24">
      <w:t xml:space="preserve"> Inc.</w:t>
    </w:r>
    <w:r w:rsidRPr="00F25219">
      <w:tab/>
    </w:r>
    <w:sdt>
      <w:sdtPr>
        <w:rPr>
          <w:highlight w:val="green"/>
        </w:rPr>
        <w:id w:val="-1031881464"/>
        <w:docPartObj>
          <w:docPartGallery w:val="Page Numbers (Bottom of Page)"/>
          <w:docPartUnique/>
        </w:docPartObj>
      </w:sdtPr>
      <w:sdtEndPr>
        <w:rPr>
          <w:highlight w:val="none"/>
        </w:rPr>
      </w:sdtEndPr>
      <w:sdtContent>
        <w:sdt>
          <w:sdtPr>
            <w:rPr>
              <w:highlight w:val="green"/>
            </w:rPr>
            <w:id w:val="1290092855"/>
            <w:docPartObj>
              <w:docPartGallery w:val="Page Numbers (Bottom of Page)"/>
              <w:docPartUnique/>
            </w:docPartObj>
          </w:sdtPr>
          <w:sdtEndPr>
            <w:rPr>
              <w:highlight w:val="none"/>
            </w:rPr>
          </w:sdtEndPr>
          <w:sdtContent>
            <w:r w:rsidR="000060D3">
              <w:rPr>
                <w:i/>
              </w:rPr>
              <w:t>Optimizing Incentives for Effective PIMs</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4D88"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E3836" w14:textId="77777777" w:rsidR="001F02F3" w:rsidRDefault="001F02F3" w:rsidP="00D330DC">
      <w:pPr>
        <w:spacing w:before="240" w:after="60"/>
      </w:pPr>
      <w:r>
        <w:separator/>
      </w:r>
    </w:p>
  </w:footnote>
  <w:footnote w:type="continuationSeparator" w:id="0">
    <w:p w14:paraId="7B55DBBC" w14:textId="77777777" w:rsidR="001F02F3" w:rsidRDefault="001F02F3" w:rsidP="005430F6">
      <w:r>
        <w:continuationSeparator/>
      </w:r>
    </w:p>
    <w:p w14:paraId="27DBBA74" w14:textId="77777777" w:rsidR="001F02F3" w:rsidRDefault="001F02F3" w:rsidP="005430F6"/>
    <w:p w14:paraId="338CB10F" w14:textId="77777777" w:rsidR="001F02F3" w:rsidRDefault="001F02F3" w:rsidP="005430F6"/>
  </w:footnote>
  <w:footnote w:id="1">
    <w:p w14:paraId="3D592EE3" w14:textId="2931EE78" w:rsidR="00953C56" w:rsidRDefault="00953C56" w:rsidP="00953C56">
      <w:pPr>
        <w:pStyle w:val="FootnoteText"/>
      </w:pPr>
      <w:r>
        <w:rPr>
          <w:rStyle w:val="FootnoteReference"/>
        </w:rPr>
        <w:footnoteRef/>
      </w:r>
      <w:r>
        <w:t xml:space="preserve"> State law provides for the possibility of earning a return on energy efficiency program spending, to help balance this incentive asymmetry. Per </w:t>
      </w:r>
      <w:r w:rsidRPr="00953C56">
        <w:t>Va. Code § 56-585.1</w:t>
      </w:r>
      <w:r>
        <w:t>: “</w:t>
      </w:r>
      <w:r w:rsidRPr="00953C56">
        <w:t>Beginning January 1, 2022, and thereafter, if the Commission</w:t>
      </w:r>
      <w:r>
        <w:t xml:space="preserve"> </w:t>
      </w:r>
      <w:r w:rsidRPr="00953C56">
        <w:t>determines that the utility meets in. any year the annual energy</w:t>
      </w:r>
      <w:r>
        <w:t xml:space="preserve"> </w:t>
      </w:r>
      <w:r w:rsidRPr="00953C56">
        <w:t>efficiency standards set forth in § 56-596.2, in the following year,</w:t>
      </w:r>
      <w:r>
        <w:t xml:space="preserve"> </w:t>
      </w:r>
      <w:r w:rsidRPr="00953C56">
        <w:t>the Commission shall award a margin on energy efficiency program</w:t>
      </w:r>
      <w:r>
        <w:t xml:space="preserve"> </w:t>
      </w:r>
      <w:r w:rsidRPr="00953C56">
        <w:t>operating expenses in, that year, to be recovered through a rate</w:t>
      </w:r>
      <w:r>
        <w:t xml:space="preserve"> </w:t>
      </w:r>
      <w:r w:rsidRPr="00953C56">
        <w:t>adjustment clause, which margin shall be equal to the general rate</w:t>
      </w:r>
      <w:r>
        <w:t xml:space="preserve"> </w:t>
      </w:r>
      <w:r w:rsidRPr="00953C56">
        <w:t>of return on common equity</w:t>
      </w:r>
      <w:r>
        <w:t>.”</w:t>
      </w:r>
    </w:p>
  </w:footnote>
  <w:footnote w:id="2">
    <w:p w14:paraId="29B6599D" w14:textId="77777777" w:rsidR="00ED7CF2" w:rsidRDefault="00ED7CF2" w:rsidP="00ED7CF2">
      <w:pPr>
        <w:pStyle w:val="FootnoteText"/>
      </w:pPr>
      <w:r>
        <w:rPr>
          <w:rStyle w:val="FootnoteReference"/>
        </w:rPr>
        <w:footnoteRef/>
      </w:r>
      <w:r>
        <w:t xml:space="preserve"> </w:t>
      </w:r>
      <w:r w:rsidRPr="00765EA9">
        <w:t xml:space="preserve">Harvey Averch and Leland L. Johnson, “Behavior of the Firm under Regulatory Constraint,” </w:t>
      </w:r>
      <w:r w:rsidRPr="00765EA9">
        <w:rPr>
          <w:i/>
          <w:iCs/>
        </w:rPr>
        <w:t>The American Economic Review</w:t>
      </w:r>
      <w:r w:rsidRPr="00765EA9">
        <w:t xml:space="preserve"> 52, no. 5 (1962): 1052–1069.</w:t>
      </w:r>
    </w:p>
  </w:footnote>
  <w:footnote w:id="3">
    <w:p w14:paraId="0CD5E1D0" w14:textId="33B62222" w:rsidR="00765EA9" w:rsidRDefault="00765EA9">
      <w:pPr>
        <w:pStyle w:val="FootnoteText"/>
      </w:pPr>
      <w:r>
        <w:rPr>
          <w:rStyle w:val="FootnoteReference"/>
        </w:rPr>
        <w:footnoteRef/>
      </w:r>
      <w:r>
        <w:t xml:space="preserve"> </w:t>
      </w:r>
      <w:r w:rsidRPr="00765EA9">
        <w:t xml:space="preserve">Karl Dunkle Werner and Stephen Jarvis, </w:t>
      </w:r>
      <w:r w:rsidRPr="00D61878">
        <w:rPr>
          <w:i/>
          <w:iCs/>
        </w:rPr>
        <w:t>Rate of Return Regulation Revisited</w:t>
      </w:r>
      <w:r>
        <w:t>,</w:t>
      </w:r>
      <w:r w:rsidRPr="00765EA9">
        <w:t xml:space="preserve"> Energy Institute at Haas Working Paper No. 329 (Berkeley, CA: University of California, Berkeley, Haas School of Business, </w:t>
      </w:r>
      <w:r>
        <w:t>September</w:t>
      </w:r>
      <w:r w:rsidRPr="00765EA9">
        <w:t xml:space="preserve"> 202</w:t>
      </w:r>
      <w:r>
        <w:t>4</w:t>
      </w:r>
      <w:r w:rsidRPr="00765EA9">
        <w:t xml:space="preserve">), 5, </w:t>
      </w:r>
      <w:hyperlink r:id="rId1" w:tgtFrame="_new" w:history="1">
        <w:r w:rsidRPr="00765EA9">
          <w:rPr>
            <w:rStyle w:val="Hyperlink"/>
          </w:rPr>
          <w:t>https://haas.berkeley.edu/wp-content/uploads/WP329.pdf</w:t>
        </w:r>
      </w:hyperlink>
      <w:r w:rsidRPr="00765EA9">
        <w:t>.</w:t>
      </w:r>
    </w:p>
  </w:footnote>
  <w:footnote w:id="4">
    <w:p w14:paraId="55D363AC" w14:textId="77777777" w:rsidR="00ED7CF2" w:rsidRDefault="00ED7CF2" w:rsidP="00ED7CF2">
      <w:pPr>
        <w:pStyle w:val="FootnoteText"/>
      </w:pPr>
      <w:r>
        <w:rPr>
          <w:rStyle w:val="FootnoteReference"/>
        </w:rPr>
        <w:footnoteRef/>
      </w:r>
      <w:r>
        <w:t xml:space="preserve"> Joe Daniel, Ryan Poelske, and Steve Kihm</w:t>
      </w:r>
      <w:r w:rsidRPr="00572F18">
        <w:t xml:space="preserve">, “Rebalancing Return on Equity to Accelerate an Affordable, Clean Energy Future,” </w:t>
      </w:r>
      <w:r w:rsidRPr="00572F18">
        <w:rPr>
          <w:i/>
          <w:iCs/>
        </w:rPr>
        <w:t>RMI</w:t>
      </w:r>
      <w:r w:rsidRPr="00572F18">
        <w:t xml:space="preserve">, February </w:t>
      </w:r>
      <w:r>
        <w:t>21</w:t>
      </w:r>
      <w:r w:rsidRPr="00572F18">
        <w:t xml:space="preserve">, 2024, </w:t>
      </w:r>
      <w:hyperlink r:id="rId2" w:tgtFrame="_new" w:history="1">
        <w:r w:rsidRPr="00572F18">
          <w:rPr>
            <w:rStyle w:val="Hyperlink"/>
          </w:rPr>
          <w:t>https://rmi.org/rebalancing-return-on-equity-to-accelerate-an-affordable-clean-energy-future</w:t>
        </w:r>
      </w:hyperlink>
      <w:r w:rsidRPr="00572F18">
        <w:t>.</w:t>
      </w:r>
    </w:p>
  </w:footnote>
  <w:footnote w:id="5">
    <w:p w14:paraId="4805AF0E" w14:textId="23616551" w:rsidR="00767ED6" w:rsidRDefault="00767ED6">
      <w:pPr>
        <w:pStyle w:val="FootnoteText"/>
      </w:pPr>
      <w:r>
        <w:rPr>
          <w:rStyle w:val="FootnoteReference"/>
        </w:rPr>
        <w:footnoteRef/>
      </w:r>
      <w:r>
        <w:t xml:space="preserve"> Rachel Millard</w:t>
      </w:r>
      <w:r w:rsidRPr="00767ED6">
        <w:t xml:space="preserve">, "UK Energy Network Owners Made Billions in Excess Returns, Says Report," </w:t>
      </w:r>
      <w:r w:rsidRPr="00767ED6">
        <w:rPr>
          <w:i/>
          <w:iCs/>
        </w:rPr>
        <w:t>Financial Times</w:t>
      </w:r>
      <w:r w:rsidRPr="00767ED6">
        <w:t xml:space="preserve">, February 15, 2025, </w:t>
      </w:r>
      <w:hyperlink r:id="rId3" w:tgtFrame="_new" w:history="1">
        <w:r w:rsidRPr="00767ED6">
          <w:rPr>
            <w:rStyle w:val="Hyperlink"/>
          </w:rPr>
          <w:t>https://www.ft.com/content/68f8f011-d615-41fb-8ad8-65aa9b49b9ef</w:t>
        </w:r>
      </w:hyperlink>
      <w:r w:rsidRPr="00767ED6">
        <w:t>.</w:t>
      </w:r>
    </w:p>
  </w:footnote>
  <w:footnote w:id="6">
    <w:p w14:paraId="048E1EE4" w14:textId="509A4B0D" w:rsidR="00286160" w:rsidRDefault="00286160" w:rsidP="00286160">
      <w:pPr>
        <w:pStyle w:val="FootnoteText"/>
      </w:pPr>
      <w:r>
        <w:rPr>
          <w:rStyle w:val="FootnoteReference"/>
        </w:rPr>
        <w:footnoteRef/>
      </w:r>
      <w:r>
        <w:t xml:space="preserve"> This standard was established by the U.S. Supreme Court</w:t>
      </w:r>
      <w:r w:rsidR="00950400">
        <w:t xml:space="preserve"> in </w:t>
      </w:r>
      <w:r w:rsidR="00950400" w:rsidRPr="00950400">
        <w:rPr>
          <w:i/>
          <w:iCs/>
        </w:rPr>
        <w:t>Bluefield Water Works &amp; Improvement Co. v. Pub. Serv. Comm'n</w:t>
      </w:r>
      <w:r w:rsidR="00950400" w:rsidRPr="00950400">
        <w:t>, 262 U.S. 679 (1923)</w:t>
      </w:r>
      <w:r>
        <w:t>.</w:t>
      </w:r>
      <w:r w:rsidR="00950400">
        <w:t xml:space="preserve"> There the Court ruled that</w:t>
      </w:r>
      <w:r>
        <w:t xml:space="preserve"> “The return should be reasonable, sufficient to assure confidence in the financial soundness of the utility, and should be adequate, under efficient and economical management, to maintain and support its credit and enable it to raise money necessary for the proper discharge of its public duties</w:t>
      </w:r>
      <w:r w:rsidR="00950400">
        <w:t>.”</w:t>
      </w:r>
    </w:p>
  </w:footnote>
  <w:footnote w:id="7">
    <w:p w14:paraId="42262D5A" w14:textId="06DE3DC4" w:rsidR="0009591E" w:rsidRDefault="0009591E" w:rsidP="0009591E">
      <w:pPr>
        <w:pStyle w:val="FootnoteText"/>
      </w:pPr>
      <w:r>
        <w:rPr>
          <w:rStyle w:val="FootnoteReference"/>
        </w:rPr>
        <w:footnoteRef/>
      </w:r>
      <w:r>
        <w:t>Cara Goldenberg, Dan Cross-Call, Sherri Billmoria, and Oliver Tully</w:t>
      </w:r>
      <w:r w:rsidRPr="00FF48D5">
        <w:t xml:space="preserve">, </w:t>
      </w:r>
      <w:r w:rsidRPr="00FF48D5">
        <w:rPr>
          <w:i/>
          <w:iCs/>
        </w:rPr>
        <w:t xml:space="preserve">PIMs for Progress: Using Performance Incentive Mechanisms to Accelerate Progress on Energy Policy Goals </w:t>
      </w:r>
      <w:r w:rsidRPr="00FF48D5">
        <w:t xml:space="preserve">(Boulder, CO: Rocky Mountain Institute, July 2020), </w:t>
      </w:r>
      <w:hyperlink r:id="rId4" w:tgtFrame="_new" w:history="1">
        <w:r w:rsidRPr="00FF48D5">
          <w:rPr>
            <w:rStyle w:val="Hyperlink"/>
          </w:rPr>
          <w:t>https://rmi.org/wp-content/uploads/2020/07/rmi_pims_for_progress.pdf</w:t>
        </w:r>
      </w:hyperlink>
      <w:r w:rsidRPr="00FF48D5">
        <w:t>.</w:t>
      </w:r>
    </w:p>
  </w:footnote>
  <w:footnote w:id="8">
    <w:p w14:paraId="2DAA371C" w14:textId="0F0BF234" w:rsidR="00F67D58" w:rsidRDefault="00F67D58" w:rsidP="00F67D58">
      <w:pPr>
        <w:pStyle w:val="FootnoteText"/>
      </w:pPr>
      <w:r>
        <w:rPr>
          <w:rStyle w:val="FootnoteReference"/>
        </w:rPr>
        <w:footnoteRef/>
      </w:r>
      <w:r>
        <w:t xml:space="preserve"> </w:t>
      </w:r>
      <w:r w:rsidRPr="00700B75">
        <w:t xml:space="preserve">Virginia State Corporation Commission, </w:t>
      </w:r>
      <w:r>
        <w:rPr>
          <w:i/>
          <w:iCs/>
        </w:rPr>
        <w:t xml:space="preserve">Report of M. Renae Carter, Hearing Examiner, </w:t>
      </w:r>
      <w:r w:rsidRPr="00700B75">
        <w:rPr>
          <w:i/>
          <w:iCs/>
        </w:rPr>
        <w:t xml:space="preserve">in the Matter of </w:t>
      </w:r>
      <w:r>
        <w:rPr>
          <w:i/>
          <w:iCs/>
        </w:rPr>
        <w:t xml:space="preserve">Virginia Electric and Power Company for approval of its 2023 DSM Update </w:t>
      </w:r>
      <w:r w:rsidRPr="00700B75">
        <w:rPr>
          <w:i/>
          <w:iCs/>
        </w:rPr>
        <w:t>Filing Pursuant to Va. Code § 56-</w:t>
      </w:r>
      <w:r w:rsidRPr="004B374B">
        <w:rPr>
          <w:i/>
          <w:iCs/>
        </w:rPr>
        <w:t>585.1 A 5 of the Code of Virginia</w:t>
      </w:r>
      <w:r w:rsidRPr="00700B75">
        <w:t>, Case No. PUR-2023-00</w:t>
      </w:r>
      <w:r>
        <w:t>217</w:t>
      </w:r>
      <w:r w:rsidRPr="00700B75">
        <w:t xml:space="preserve"> (Richmond, VA: Virginia State Corporation Commission, </w:t>
      </w:r>
      <w:r>
        <w:t>June</w:t>
      </w:r>
      <w:r w:rsidRPr="00700B75">
        <w:t xml:space="preserve"> </w:t>
      </w:r>
      <w:r>
        <w:t>26</w:t>
      </w:r>
      <w:r w:rsidRPr="00700B75">
        <w:t xml:space="preserve">, 2024), 3, </w:t>
      </w:r>
      <w:hyperlink r:id="rId5" w:tgtFrame="_new" w:history="1">
        <w:r w:rsidRPr="00700B75">
          <w:rPr>
            <w:rStyle w:val="Hyperlink"/>
          </w:rPr>
          <w:t>https://www.scc.virginia.gov/docketsearch/DOCS/7zw401%21.PDF</w:t>
        </w:r>
      </w:hyperlink>
      <w:r w:rsidRPr="00700B75">
        <w:t>.</w:t>
      </w:r>
    </w:p>
  </w:footnote>
  <w:footnote w:id="9">
    <w:p w14:paraId="7610ED88" w14:textId="77777777" w:rsidR="00F67D58" w:rsidRPr="004B374B" w:rsidRDefault="00F67D58" w:rsidP="00F67D58">
      <w:pPr>
        <w:pStyle w:val="FootnoteText"/>
        <w:rPr>
          <w:i/>
          <w:iCs/>
        </w:rPr>
      </w:pPr>
      <w:r>
        <w:rPr>
          <w:rStyle w:val="FootnoteReference"/>
        </w:rPr>
        <w:footnoteRef/>
      </w:r>
      <w:r>
        <w:t xml:space="preserve"> </w:t>
      </w:r>
      <w:r w:rsidRPr="00700B75">
        <w:t xml:space="preserve">Virginia State Corporation Commission, </w:t>
      </w:r>
      <w:r w:rsidRPr="004B374B">
        <w:rPr>
          <w:i/>
          <w:iCs/>
        </w:rPr>
        <w:t>Application of Virginia Electric and Power Company for approval of its 2024 DSM Update</w:t>
      </w:r>
      <w:r>
        <w:rPr>
          <w:i/>
          <w:iCs/>
        </w:rPr>
        <w:t xml:space="preserve"> </w:t>
      </w:r>
      <w:r w:rsidRPr="004B374B">
        <w:rPr>
          <w:i/>
          <w:iCs/>
        </w:rPr>
        <w:t>pursuant to § 56-585.1 A 5 of the Code of Virginia</w:t>
      </w:r>
      <w:r>
        <w:t>,</w:t>
      </w:r>
      <w:r w:rsidRPr="00700B75">
        <w:t xml:space="preserve"> 4</w:t>
      </w:r>
      <w:r>
        <w:t>2</w:t>
      </w:r>
      <w:r w:rsidRPr="00700B75">
        <w:t>.</w:t>
      </w:r>
    </w:p>
  </w:footnote>
  <w:footnote w:id="10">
    <w:p w14:paraId="02757BBD" w14:textId="77777777" w:rsidR="00F67D58" w:rsidRDefault="00F67D58" w:rsidP="00F67D58">
      <w:pPr>
        <w:pStyle w:val="FootnoteText"/>
      </w:pPr>
      <w:r>
        <w:rPr>
          <w:rStyle w:val="FootnoteReference"/>
        </w:rPr>
        <w:footnoteRef/>
      </w:r>
      <w:r>
        <w:t xml:space="preserve"> </w:t>
      </w:r>
      <w:r w:rsidRPr="003C73EB">
        <w:t>Robert Walton, " Dominion miss on Virginia efficiency target could impact gas peaker approval</w:t>
      </w:r>
      <w:r>
        <w:t>.</w:t>
      </w:r>
      <w:r w:rsidRPr="003C73EB">
        <w:t>"</w:t>
      </w:r>
    </w:p>
  </w:footnote>
  <w:footnote w:id="11">
    <w:p w14:paraId="7018A28D" w14:textId="77777777" w:rsidR="00F67D58" w:rsidRDefault="00F67D58" w:rsidP="00F67D58">
      <w:pPr>
        <w:pStyle w:val="FootnoteText"/>
      </w:pPr>
      <w:r>
        <w:rPr>
          <w:rStyle w:val="FootnoteReference"/>
        </w:rPr>
        <w:footnoteRef/>
      </w:r>
      <w:r>
        <w:t xml:space="preserve"> </w:t>
      </w:r>
      <w:r w:rsidRPr="00700B75">
        <w:t xml:space="preserve">Virginia State Corporation Commission, </w:t>
      </w:r>
      <w:r w:rsidRPr="004B374B">
        <w:rPr>
          <w:i/>
          <w:iCs/>
        </w:rPr>
        <w:t>Application of Virginia Electric and Power Company for approval of its 2024 DSM Update</w:t>
      </w:r>
      <w:r>
        <w:rPr>
          <w:i/>
          <w:iCs/>
        </w:rPr>
        <w:t xml:space="preserve"> </w:t>
      </w:r>
      <w:r w:rsidRPr="004B374B">
        <w:rPr>
          <w:i/>
          <w:iCs/>
        </w:rPr>
        <w:t>pursuant to § 56-585.1 A 5 of the Code of Virginia</w:t>
      </w:r>
      <w:r w:rsidRPr="00700B75">
        <w:t>, 46–47.</w:t>
      </w:r>
    </w:p>
  </w:footnote>
  <w:footnote w:id="12">
    <w:p w14:paraId="7C20F175" w14:textId="77777777" w:rsidR="00F67D58" w:rsidRDefault="00F67D58" w:rsidP="00F67D58">
      <w:pPr>
        <w:pStyle w:val="FootnoteText"/>
      </w:pPr>
      <w:r>
        <w:rPr>
          <w:rStyle w:val="FootnoteReference"/>
        </w:rPr>
        <w:footnoteRef/>
      </w:r>
      <w:r>
        <w:t xml:space="preserve"> </w:t>
      </w:r>
      <w:r w:rsidRPr="00700B75">
        <w:t xml:space="preserve">Virginia State Corporation Commission, </w:t>
      </w:r>
      <w:r w:rsidRPr="00700B75">
        <w:rPr>
          <w:i/>
          <w:iCs/>
        </w:rPr>
        <w:t xml:space="preserve">Report of </w:t>
      </w:r>
      <w:r>
        <w:rPr>
          <w:i/>
          <w:iCs/>
        </w:rPr>
        <w:t>Nathan</w:t>
      </w:r>
      <w:r w:rsidRPr="00700B75">
        <w:rPr>
          <w:i/>
          <w:iCs/>
        </w:rPr>
        <w:t xml:space="preserve"> </w:t>
      </w:r>
      <w:r>
        <w:rPr>
          <w:i/>
          <w:iCs/>
        </w:rPr>
        <w:t>J</w:t>
      </w:r>
      <w:r w:rsidRPr="00700B75">
        <w:rPr>
          <w:i/>
          <w:iCs/>
        </w:rPr>
        <w:t xml:space="preserve">. </w:t>
      </w:r>
      <w:r>
        <w:rPr>
          <w:i/>
          <w:iCs/>
        </w:rPr>
        <w:t>Frost</w:t>
      </w:r>
      <w:r w:rsidRPr="00700B75">
        <w:rPr>
          <w:i/>
          <w:iCs/>
        </w:rPr>
        <w:t xml:space="preserve">, in the Matter of </w:t>
      </w:r>
      <w:r w:rsidRPr="004B374B">
        <w:rPr>
          <w:i/>
          <w:iCs/>
        </w:rPr>
        <w:t>Virginia Electric and Power Company</w:t>
      </w:r>
      <w:r>
        <w:rPr>
          <w:i/>
          <w:iCs/>
        </w:rPr>
        <w:t xml:space="preserve"> for approval of its DSM</w:t>
      </w:r>
      <w:r w:rsidRPr="00700B75">
        <w:rPr>
          <w:i/>
          <w:iCs/>
        </w:rPr>
        <w:t xml:space="preserve"> to Va. Code § 56-597 et seq.</w:t>
      </w:r>
      <w:r w:rsidRPr="00700B75">
        <w:t>, Case No. PUR-202</w:t>
      </w:r>
      <w:r>
        <w:t>1</w:t>
      </w:r>
      <w:r w:rsidRPr="00700B75">
        <w:t>-00</w:t>
      </w:r>
      <w:r>
        <w:t>247</w:t>
      </w:r>
      <w:r w:rsidRPr="00700B75">
        <w:t xml:space="preserve"> (Richmond, VA: Virginia State Corporation Commission), </w:t>
      </w:r>
      <w:r>
        <w:t>9</w:t>
      </w:r>
      <w:r w:rsidRPr="00700B75">
        <w:t xml:space="preserve">, </w:t>
      </w:r>
      <w:hyperlink r:id="rId6" w:tgtFrame="_new" w:history="1">
        <w:r w:rsidRPr="00700B75">
          <w:rPr>
            <w:rStyle w:val="Hyperlink"/>
          </w:rPr>
          <w:t>https://www.scc.virginia.gov/docketsearch/DOCS/67@c01!.PDF</w:t>
        </w:r>
      </w:hyperlink>
      <w:r w:rsidRPr="00700B75">
        <w:t>.</w:t>
      </w:r>
    </w:p>
  </w:footnote>
  <w:footnote w:id="13">
    <w:p w14:paraId="16DC1E8D" w14:textId="77777777" w:rsidR="00F67D58" w:rsidRDefault="00F67D58" w:rsidP="00F67D58">
      <w:pPr>
        <w:pStyle w:val="FootnoteText"/>
      </w:pPr>
      <w:r>
        <w:rPr>
          <w:rStyle w:val="FootnoteReference"/>
        </w:rPr>
        <w:footnoteRef/>
      </w:r>
      <w:r>
        <w:t xml:space="preserve"> </w:t>
      </w:r>
      <w:r w:rsidRPr="00700B75">
        <w:t xml:space="preserve">Virginia State Corporation Commission, </w:t>
      </w:r>
      <w:r w:rsidRPr="004B374B">
        <w:rPr>
          <w:i/>
          <w:iCs/>
        </w:rPr>
        <w:t>Application of Virginia Electric and Power Company for approval of its 2024 DSM Update</w:t>
      </w:r>
      <w:r>
        <w:rPr>
          <w:i/>
          <w:iCs/>
        </w:rPr>
        <w:t xml:space="preserve"> </w:t>
      </w:r>
      <w:r w:rsidRPr="004B374B">
        <w:rPr>
          <w:i/>
          <w:iCs/>
        </w:rPr>
        <w:t>pursuant to § 56-585.1 A 5 of the Code of Virginia</w:t>
      </w:r>
      <w:r w:rsidRPr="00700B75">
        <w:t>, Case No. PUR-202</w:t>
      </w:r>
      <w:r>
        <w:t>4</w:t>
      </w:r>
      <w:r w:rsidRPr="00700B75">
        <w:t>-00</w:t>
      </w:r>
      <w:r>
        <w:t>222</w:t>
      </w:r>
      <w:r w:rsidRPr="00700B75">
        <w:t xml:space="preserve"> (Richmond, VA: Virginia State Corporation Commission, </w:t>
      </w:r>
      <w:r>
        <w:t>December</w:t>
      </w:r>
      <w:r w:rsidRPr="00700B75">
        <w:t xml:space="preserve"> </w:t>
      </w:r>
      <w:r>
        <w:t>13</w:t>
      </w:r>
      <w:r w:rsidRPr="00700B75">
        <w:t>, 2024), 4</w:t>
      </w:r>
      <w:r>
        <w:t>1</w:t>
      </w:r>
      <w:r w:rsidRPr="00700B75">
        <w:t xml:space="preserve">, </w:t>
      </w:r>
      <w:hyperlink r:id="rId7" w:tgtFrame="_new" w:history="1">
        <w:r w:rsidRPr="00700B75">
          <w:rPr>
            <w:rStyle w:val="Hyperlink"/>
          </w:rPr>
          <w:t>https://www.scc.virginia.gov/docketsearch/DOCS/831601!.PDF</w:t>
        </w:r>
      </w:hyperlink>
    </w:p>
  </w:footnote>
  <w:footnote w:id="14">
    <w:p w14:paraId="542AE7F5" w14:textId="77777777" w:rsidR="00F67D58" w:rsidRDefault="00F67D58" w:rsidP="00F67D58">
      <w:pPr>
        <w:pStyle w:val="FootnoteText"/>
      </w:pPr>
      <w:r>
        <w:rPr>
          <w:rStyle w:val="FootnoteReference"/>
        </w:rPr>
        <w:footnoteRef/>
      </w:r>
      <w:r>
        <w:t xml:space="preserve"> </w:t>
      </w:r>
      <w:r w:rsidRPr="00700B75">
        <w:t xml:space="preserve">Virginia State Corporation Commission, </w:t>
      </w:r>
      <w:r w:rsidRPr="00700B75">
        <w:rPr>
          <w:i/>
          <w:iCs/>
        </w:rPr>
        <w:t xml:space="preserve">Report of </w:t>
      </w:r>
      <w:r>
        <w:rPr>
          <w:i/>
          <w:iCs/>
        </w:rPr>
        <w:t>Nathan</w:t>
      </w:r>
      <w:r w:rsidRPr="00700B75">
        <w:rPr>
          <w:i/>
          <w:iCs/>
        </w:rPr>
        <w:t xml:space="preserve"> </w:t>
      </w:r>
      <w:r>
        <w:rPr>
          <w:i/>
          <w:iCs/>
        </w:rPr>
        <w:t>J</w:t>
      </w:r>
      <w:r w:rsidRPr="00700B75">
        <w:rPr>
          <w:i/>
          <w:iCs/>
        </w:rPr>
        <w:t xml:space="preserve">. </w:t>
      </w:r>
      <w:r>
        <w:rPr>
          <w:i/>
          <w:iCs/>
        </w:rPr>
        <w:t>Frost</w:t>
      </w:r>
      <w:r w:rsidRPr="00700B75">
        <w:rPr>
          <w:i/>
          <w:iCs/>
        </w:rPr>
        <w:t xml:space="preserve">, in the Matter of </w:t>
      </w:r>
      <w:r w:rsidRPr="004B374B">
        <w:rPr>
          <w:i/>
          <w:iCs/>
        </w:rPr>
        <w:t>Virginia Electric and Power Company</w:t>
      </w:r>
      <w:r>
        <w:rPr>
          <w:i/>
          <w:iCs/>
        </w:rPr>
        <w:t xml:space="preserve"> for approval of its DSM</w:t>
      </w:r>
      <w:r w:rsidRPr="00700B75">
        <w:rPr>
          <w:i/>
          <w:iCs/>
        </w:rPr>
        <w:t xml:space="preserve"> to Va. Code § 56-597 et seq</w:t>
      </w:r>
      <w:r>
        <w:rPr>
          <w:i/>
          <w:iCs/>
        </w:rPr>
        <w:t>.</w:t>
      </w:r>
      <w:r w:rsidRPr="00700B75">
        <w:rPr>
          <w:i/>
          <w:iCs/>
        </w:rPr>
        <w:t xml:space="preserve">, </w:t>
      </w:r>
      <w:r w:rsidRPr="00700B75">
        <w:t>15.</w:t>
      </w:r>
    </w:p>
  </w:footnote>
  <w:footnote w:id="15">
    <w:p w14:paraId="0D1171F5" w14:textId="77777777" w:rsidR="00F67D58" w:rsidRDefault="00F67D58" w:rsidP="00F67D58">
      <w:pPr>
        <w:pStyle w:val="FootnoteText"/>
      </w:pPr>
      <w:r>
        <w:rPr>
          <w:rStyle w:val="FootnoteReference"/>
        </w:rPr>
        <w:footnoteRef/>
      </w:r>
      <w:r>
        <w:t xml:space="preserve"> </w:t>
      </w:r>
      <w:r w:rsidRPr="003C73EB">
        <w:t>Robert Walton, " Dominion miss on Virginia efficiency target could impact gas peaker approval</w:t>
      </w:r>
      <w:r>
        <w:t>,</w:t>
      </w:r>
      <w:r w:rsidRPr="003C73EB">
        <w:t xml:space="preserve">" </w:t>
      </w:r>
      <w:r w:rsidRPr="003C73EB">
        <w:rPr>
          <w:i/>
          <w:iCs/>
        </w:rPr>
        <w:t>Utility Dive</w:t>
      </w:r>
      <w:r w:rsidRPr="003C73EB">
        <w:t xml:space="preserve">, </w:t>
      </w:r>
      <w:r>
        <w:t>July</w:t>
      </w:r>
      <w:r w:rsidRPr="003C73EB">
        <w:t xml:space="preserve"> </w:t>
      </w:r>
      <w:r>
        <w:t>31</w:t>
      </w:r>
      <w:r w:rsidRPr="003C73EB">
        <w:t xml:space="preserve">, 2024, </w:t>
      </w:r>
      <w:hyperlink r:id="rId8" w:tgtFrame="_new" w:history="1">
        <w:r w:rsidRPr="003C73EB">
          <w:rPr>
            <w:rStyle w:val="Hyperlink"/>
          </w:rPr>
          <w:t>https://www.utilitydive.com/news/dominion-energy-miss-efficiency-savings-impact-gas-peakers-virginia/722940/</w:t>
        </w:r>
      </w:hyperlink>
      <w:r w:rsidRPr="003C73EB">
        <w:t>.</w:t>
      </w:r>
    </w:p>
  </w:footnote>
  <w:footnote w:id="16">
    <w:p w14:paraId="133E7132" w14:textId="52C6B6BC" w:rsidR="008B7429" w:rsidRDefault="008B7429" w:rsidP="008B7429">
      <w:pPr>
        <w:pStyle w:val="FootnoteText"/>
      </w:pPr>
      <w:r>
        <w:rPr>
          <w:rStyle w:val="FootnoteReference"/>
        </w:rPr>
        <w:footnoteRef/>
      </w:r>
      <w:r>
        <w:t xml:space="preserve"> </w:t>
      </w:r>
      <w:r w:rsidRPr="00700B75">
        <w:t xml:space="preserve">Virginia State Corporation Commission, </w:t>
      </w:r>
      <w:r>
        <w:rPr>
          <w:i/>
          <w:iCs/>
        </w:rPr>
        <w:t xml:space="preserve">Report of M. Renae Carter, Hearing Examiner, </w:t>
      </w:r>
      <w:r w:rsidRPr="00700B75">
        <w:rPr>
          <w:i/>
          <w:iCs/>
        </w:rPr>
        <w:t xml:space="preserve">in the Matter of </w:t>
      </w:r>
      <w:r>
        <w:rPr>
          <w:i/>
          <w:iCs/>
        </w:rPr>
        <w:t xml:space="preserve">Virginia Electric and Power Company for approval of its 2023 DSM Update </w:t>
      </w:r>
      <w:r w:rsidRPr="00700B75">
        <w:rPr>
          <w:i/>
          <w:iCs/>
        </w:rPr>
        <w:t>Filing Pursuant to Va. Code § 56-</w:t>
      </w:r>
      <w:r w:rsidRPr="004B374B">
        <w:rPr>
          <w:i/>
          <w:iCs/>
        </w:rPr>
        <w:t>585.1 A 5 of the Code of Virginia</w:t>
      </w:r>
      <w:r w:rsidRPr="00700B75">
        <w:t>,</w:t>
      </w:r>
      <w:r>
        <w:t xml:space="preserve"> 27.</w:t>
      </w:r>
    </w:p>
  </w:footnote>
  <w:footnote w:id="17">
    <w:p w14:paraId="5D893619" w14:textId="77777777" w:rsidR="008B7429" w:rsidRPr="004B374B" w:rsidRDefault="008B7429" w:rsidP="008B7429">
      <w:pPr>
        <w:pStyle w:val="FootnoteText"/>
        <w:rPr>
          <w:i/>
          <w:iCs/>
        </w:rPr>
      </w:pPr>
      <w:r>
        <w:rPr>
          <w:rStyle w:val="FootnoteReference"/>
        </w:rPr>
        <w:footnoteRef/>
      </w:r>
      <w:r>
        <w:t xml:space="preserve"> </w:t>
      </w:r>
      <w:r w:rsidRPr="00700B75">
        <w:t xml:space="preserve">Virginia State Corporation Commission, </w:t>
      </w:r>
      <w:r w:rsidRPr="004B374B">
        <w:rPr>
          <w:i/>
          <w:iCs/>
        </w:rPr>
        <w:t>Application of Virginia Electric and Power Company for approval of its 2024 DSM Update</w:t>
      </w:r>
      <w:r>
        <w:rPr>
          <w:i/>
          <w:iCs/>
        </w:rPr>
        <w:t xml:space="preserve"> </w:t>
      </w:r>
      <w:r w:rsidRPr="004B374B">
        <w:rPr>
          <w:i/>
          <w:iCs/>
        </w:rPr>
        <w:t>pursuant to § 56-585.1 A 5 of the Code of Virginia</w:t>
      </w:r>
      <w:r>
        <w:t>,</w:t>
      </w:r>
      <w:r w:rsidRPr="00700B75">
        <w:t xml:space="preserve"> 4</w:t>
      </w:r>
      <w:r>
        <w:t>2</w:t>
      </w:r>
      <w:r w:rsidRPr="00700B75">
        <w:t>.</w:t>
      </w:r>
    </w:p>
  </w:footnote>
  <w:footnote w:id="18">
    <w:p w14:paraId="21734AF9" w14:textId="1A0BDCE5" w:rsidR="003C52CA" w:rsidRPr="003C52CA" w:rsidRDefault="003C52CA" w:rsidP="003C52CA">
      <w:pPr>
        <w:pStyle w:val="FootnoteText"/>
      </w:pPr>
      <w:r>
        <w:rPr>
          <w:rStyle w:val="FootnoteReference"/>
        </w:rPr>
        <w:footnoteRef/>
      </w:r>
      <w:r>
        <w:t xml:space="preserve"> I</w:t>
      </w:r>
      <w:r w:rsidRPr="003C52CA">
        <w:t>n 2012, the New York Public Service</w:t>
      </w:r>
      <w:r>
        <w:t xml:space="preserve"> </w:t>
      </w:r>
      <w:r w:rsidRPr="003C52CA">
        <w:t>Commission issued an order that abolished the</w:t>
      </w:r>
      <w:r>
        <w:t xml:space="preserve"> </w:t>
      </w:r>
      <w:r w:rsidRPr="003C52CA">
        <w:t>penalty portion of energy efficiency incentives.</w:t>
      </w:r>
      <w:r>
        <w:t xml:space="preserve"> </w:t>
      </w:r>
      <w:r w:rsidRPr="003C52CA">
        <w:t>The Commission’s experience was that the</w:t>
      </w:r>
      <w:r>
        <w:t xml:space="preserve"> </w:t>
      </w:r>
      <w:r w:rsidRPr="003C52CA">
        <w:t>threat of penalties “created an adversarial</w:t>
      </w:r>
      <w:r>
        <w:t xml:space="preserve"> </w:t>
      </w:r>
      <w:r w:rsidRPr="003C52CA">
        <w:t>approach to setting targets and budgets, undue</w:t>
      </w:r>
      <w:r>
        <w:t xml:space="preserve"> </w:t>
      </w:r>
      <w:r w:rsidRPr="003C52CA">
        <w:t>aversion to risk, and short‐term allocation of</w:t>
      </w:r>
      <w:r>
        <w:t xml:space="preserve"> </w:t>
      </w:r>
      <w:r w:rsidRPr="003C52CA">
        <w:t>resources that may not serve the long‐term</w:t>
      </w:r>
      <w:r>
        <w:t xml:space="preserve"> </w:t>
      </w:r>
      <w:r w:rsidRPr="003C52CA">
        <w:t>interests of a balanced program.” In addition,</w:t>
      </w:r>
      <w:r>
        <w:t xml:space="preserve"> </w:t>
      </w:r>
      <w:r w:rsidRPr="003C52CA">
        <w:t>consideration of mitigating circumstances</w:t>
      </w:r>
    </w:p>
    <w:p w14:paraId="47CF672B" w14:textId="59C6240E" w:rsidR="003C52CA" w:rsidRDefault="003C52CA">
      <w:pPr>
        <w:pStyle w:val="FootnoteText"/>
      </w:pPr>
      <w:r w:rsidRPr="003C52CA">
        <w:t>presented a substantial drain on staff and</w:t>
      </w:r>
      <w:r>
        <w:t xml:space="preserve"> </w:t>
      </w:r>
      <w:r w:rsidRPr="003C52CA">
        <w:t>utility resources that could have been better</w:t>
      </w:r>
      <w:r>
        <w:t xml:space="preserve"> </w:t>
      </w:r>
      <w:r w:rsidRPr="003C52CA">
        <w:t>spent on administering programs. See NY P</w:t>
      </w:r>
      <w:r>
        <w:t xml:space="preserve">ublic Service Commission. </w:t>
      </w:r>
      <w:r>
        <w:rPr>
          <w:i/>
          <w:iCs/>
        </w:rPr>
        <w:t>Order Establishing Utility Financial Incentives</w:t>
      </w:r>
      <w:r>
        <w:t xml:space="preserve">. Case No. 07-M-0548. March 22, </w:t>
      </w:r>
      <w:r w:rsidRPr="003C52CA">
        <w:t>2012, 5‐6.</w:t>
      </w:r>
    </w:p>
  </w:footnote>
  <w:footnote w:id="19">
    <w:p w14:paraId="351F30D4" w14:textId="77777777" w:rsidR="005521AA" w:rsidRPr="00D61878" w:rsidRDefault="005521AA" w:rsidP="005521AA">
      <w:pPr>
        <w:pStyle w:val="FootnoteText"/>
        <w:rPr>
          <w:i/>
          <w:iCs/>
        </w:rPr>
      </w:pPr>
      <w:r>
        <w:rPr>
          <w:rStyle w:val="FootnoteReference"/>
        </w:rPr>
        <w:footnoteRef/>
      </w:r>
      <w:r>
        <w:t xml:space="preserve"> K</w:t>
      </w:r>
      <w:r w:rsidRPr="00765EA9">
        <w:t xml:space="preserve">arl Dunkle Werner and Stephen Jarvis, </w:t>
      </w:r>
      <w:r w:rsidRPr="00D61878">
        <w:rPr>
          <w:i/>
          <w:iCs/>
        </w:rPr>
        <w:t>Rate of Return Regulation Revisited</w:t>
      </w:r>
      <w:r>
        <w:rPr>
          <w:i/>
          <w:iCs/>
        </w:rPr>
        <w:t>.</w:t>
      </w:r>
    </w:p>
  </w:footnote>
  <w:footnote w:id="20">
    <w:p w14:paraId="5AC518A7" w14:textId="77777777" w:rsidR="00C7558A" w:rsidRDefault="00C7558A" w:rsidP="00C7558A">
      <w:pPr>
        <w:pStyle w:val="FootnoteText"/>
      </w:pPr>
      <w:r>
        <w:rPr>
          <w:rStyle w:val="FootnoteReference"/>
        </w:rPr>
        <w:footnoteRef/>
      </w:r>
      <w:r>
        <w:t xml:space="preserve"> </w:t>
      </w:r>
      <w:r w:rsidRPr="00410A0C">
        <w:t xml:space="preserve">Hawaii Public Utilities Commission, </w:t>
      </w:r>
      <w:r>
        <w:rPr>
          <w:i/>
          <w:iCs/>
        </w:rPr>
        <w:t>Summary of</w:t>
      </w:r>
      <w:r w:rsidRPr="00410A0C">
        <w:rPr>
          <w:i/>
          <w:iCs/>
        </w:rPr>
        <w:t xml:space="preserve"> Phase 2 Decision </w:t>
      </w:r>
      <w:r>
        <w:rPr>
          <w:i/>
          <w:iCs/>
        </w:rPr>
        <w:t>&amp;</w:t>
      </w:r>
      <w:r w:rsidRPr="00410A0C">
        <w:rPr>
          <w:i/>
          <w:iCs/>
        </w:rPr>
        <w:t xml:space="preserve"> Order</w:t>
      </w:r>
      <w:r>
        <w:rPr>
          <w:i/>
          <w:iCs/>
        </w:rPr>
        <w:t xml:space="preserve"> Establishing a PBR Framework</w:t>
      </w:r>
      <w:r w:rsidRPr="00410A0C">
        <w:t>(Honolulu, HI: Hawaii Public Utilities Commission, December 2</w:t>
      </w:r>
      <w:r>
        <w:t>3</w:t>
      </w:r>
      <w:r w:rsidRPr="00410A0C">
        <w:t xml:space="preserve">, 2020), </w:t>
      </w:r>
      <w:hyperlink r:id="rId9" w:tgtFrame="_new" w:history="1">
        <w:r w:rsidRPr="00410A0C">
          <w:rPr>
            <w:rStyle w:val="Hyperlink"/>
          </w:rPr>
          <w:t>https://puc.hawaii.gov/wp-content/uploads/2020/12/PBR-Phase-2-DO-5-Page-Summary.Final_.12-22-2020.pdf</w:t>
        </w:r>
      </w:hyperlink>
      <w:r w:rsidRPr="00410A0C">
        <w:t>.</w:t>
      </w:r>
    </w:p>
  </w:footnote>
  <w:footnote w:id="21">
    <w:p w14:paraId="1FC1785A" w14:textId="629899BD" w:rsidR="00C7558A" w:rsidRDefault="00C7558A" w:rsidP="00C7558A">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00E1" w14:textId="77777777" w:rsidR="00A07D24" w:rsidRDefault="001F02F3" w:rsidP="005430F6">
    <w:r>
      <w:rPr>
        <w:noProof/>
      </w:rPr>
      <w:pict w14:anchorId="38E01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0" o:spid="_x0000_s1030" type="#_x0000_t136" alt="" style="position:absolute;margin-left:0;margin-top:0;width:96.75pt;height:44.25pt;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 string="DRAFT"/>
          <w10:wrap anchorx="margin" anchory="margin"/>
        </v:shape>
      </w:pict>
    </w:r>
  </w:p>
  <w:p w14:paraId="46F665AB" w14:textId="77777777" w:rsidR="004366A1" w:rsidRDefault="004366A1" w:rsidP="005430F6"/>
  <w:p w14:paraId="75A73838"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1CBF" w14:textId="77777777" w:rsidR="009649DF" w:rsidRDefault="001F02F3">
    <w:pPr>
      <w:pStyle w:val="Header"/>
    </w:pPr>
    <w:r>
      <w:rPr>
        <w:noProof/>
      </w:rPr>
      <w:pict w14:anchorId="0745A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1" o:spid="_x0000_s1029" type="#_x0000_t136" alt="" style="position:absolute;margin-left:0;margin-top:0;width:96.75pt;height:44.25pt;z-index:-251643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886C" w14:textId="77777777" w:rsidR="00445F8E" w:rsidRDefault="001F02F3" w:rsidP="00445F8E">
    <w:pPr>
      <w:pStyle w:val="Header"/>
      <w:tabs>
        <w:tab w:val="clear" w:pos="9360"/>
      </w:tabs>
      <w:ind w:right="-360"/>
    </w:pPr>
    <w:r>
      <w:rPr>
        <w:noProof/>
      </w:rPr>
      <w:pict w14:anchorId="2304D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39" o:spid="_x0000_s1028" type="#_x0000_t136" alt="" style="position:absolute;margin-left:-2.5pt;margin-top:-33.95pt;width:96.75pt;height:44.25pt;z-index:-251648000;mso-wrap-edited:f;mso-width-percent:0;mso-height-percent:0;mso-position-horizontal-relative:margin;mso-position-vertical-relative:margin;mso-width-percent:0;mso-height-percent:0" o:allowincell="f" fillcolor="silver" stroked="f">
          <v:fill opacity=".5"/>
          <v:textpath style="font-family:&quot;Calibri&quot;" string="DRAFT"/>
          <w10:wrap anchorx="margin" anchory="margin"/>
        </v:shape>
      </w:pict>
    </w:r>
    <w:r w:rsidR="00445F8E">
      <w:rPr>
        <w:noProof/>
      </w:rPr>
      <mc:AlternateContent>
        <mc:Choice Requires="wps">
          <w:drawing>
            <wp:anchor distT="0" distB="0" distL="114300" distR="114300" simplePos="0" relativeHeight="251659264" behindDoc="0" locked="0" layoutInCell="1" allowOverlap="1" wp14:anchorId="0C60151E" wp14:editId="5D16D851">
              <wp:simplePos x="0" y="0"/>
              <wp:positionH relativeFrom="column">
                <wp:posOffset>-228600</wp:posOffset>
              </wp:positionH>
              <wp:positionV relativeFrom="paragraph">
                <wp:posOffset>476885</wp:posOffset>
              </wp:positionV>
              <wp:extent cx="6423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3660"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7657991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37.55pt" to="487.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" strokecolor="#f8ab48 [3206]"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AC47" w14:textId="77777777" w:rsidR="009649DF" w:rsidRDefault="001F02F3">
    <w:pPr>
      <w:pStyle w:val="Header"/>
    </w:pPr>
    <w:r>
      <w:rPr>
        <w:noProof/>
      </w:rPr>
      <w:pict w14:anchorId="0455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3" o:spid="_x0000_s1027" type="#_x0000_t136" alt="" style="position:absolute;margin-left:0;margin-top:0;width:96.75pt;height:44.25pt;z-index:-251639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F863" w14:textId="77777777" w:rsidR="009649DF" w:rsidRDefault="001F02F3">
    <w:pPr>
      <w:pStyle w:val="Header"/>
    </w:pPr>
    <w:r>
      <w:rPr>
        <w:noProof/>
      </w:rPr>
      <w:pict w14:anchorId="5B053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4" o:spid="_x0000_s1026" type="#_x0000_t136" alt="" style="position:absolute;margin-left:-2.5pt;margin-top:-39.75pt;width:96.75pt;height:44.25pt;z-index:-251637760;mso-wrap-edited:f;mso-width-percent:0;mso-height-percent:0;mso-position-horizontal-relative:margin;mso-position-vertical-relative:margin;mso-width-percent:0;mso-height-percent:0" o:allowincell="f" fillcolor="silver" stroked="f">
          <v:fill opacity=".5"/>
          <v:textpath style="font-family:&quot;Calibri&quo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76E9" w14:textId="77777777" w:rsidR="007D3992" w:rsidRPr="00D26961" w:rsidRDefault="001F02F3" w:rsidP="00D26961">
    <w:pPr>
      <w:pStyle w:val="Header"/>
    </w:pPr>
    <w:r>
      <w:rPr>
        <w:noProof/>
      </w:rPr>
      <w:pict w14:anchorId="7214B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2" o:spid="_x0000_s1025" type="#_x0000_t136" alt="" style="position:absolute;margin-left:-1.15pt;margin-top:-39.75pt;width:96.75pt;height:44.25pt;z-index:-251641856;mso-wrap-edited:f;mso-width-percent:0;mso-height-percent:0;mso-position-horizontal-relative:margin;mso-position-vertical-relative:margin;mso-width-percent:0;mso-height-percent:0" o:allowincell="f" fillcolor="silver" stroked="f">
          <v:fill opacity=".5"/>
          <v:textpath style="font-family:&quot;Calibri&quo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E84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487B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C665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A0A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48D5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8FA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96B8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026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22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A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5D3F"/>
    <w:multiLevelType w:val="hybridMultilevel"/>
    <w:tmpl w:val="E0ACBF36"/>
    <w:lvl w:ilvl="0" w:tplc="5BA8B8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42A05AB"/>
    <w:multiLevelType w:val="hybridMultilevel"/>
    <w:tmpl w:val="66AAF9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732D49"/>
    <w:multiLevelType w:val="hybridMultilevel"/>
    <w:tmpl w:val="43846E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BAC6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917BD"/>
    <w:multiLevelType w:val="hybridMultilevel"/>
    <w:tmpl w:val="B35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D573B"/>
    <w:multiLevelType w:val="hybridMultilevel"/>
    <w:tmpl w:val="EA1E4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D6BD6"/>
    <w:multiLevelType w:val="hybridMultilevel"/>
    <w:tmpl w:val="66AAF9D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AB708D0"/>
    <w:multiLevelType w:val="multilevel"/>
    <w:tmpl w:val="80F8484C"/>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2"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1426F88"/>
    <w:multiLevelType w:val="hybridMultilevel"/>
    <w:tmpl w:val="E0ACBF3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B275A"/>
    <w:multiLevelType w:val="hybridMultilevel"/>
    <w:tmpl w:val="C640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C294C"/>
    <w:multiLevelType w:val="multilevel"/>
    <w:tmpl w:val="80F8484C"/>
    <w:numStyleLink w:val="Headings"/>
  </w:abstractNum>
  <w:abstractNum w:abstractNumId="28"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90181727">
    <w:abstractNumId w:val="11"/>
  </w:num>
  <w:num w:numId="2" w16cid:durableId="1946577479">
    <w:abstractNumId w:val="12"/>
  </w:num>
  <w:num w:numId="3" w16cid:durableId="309479914">
    <w:abstractNumId w:val="20"/>
  </w:num>
  <w:num w:numId="4" w16cid:durableId="1896352827">
    <w:abstractNumId w:val="21"/>
  </w:num>
  <w:num w:numId="5" w16cid:durableId="829101786">
    <w:abstractNumId w:val="27"/>
  </w:num>
  <w:num w:numId="6" w16cid:durableId="290012733">
    <w:abstractNumId w:val="28"/>
  </w:num>
  <w:num w:numId="7" w16cid:durableId="374737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621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464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459973">
    <w:abstractNumId w:val="25"/>
  </w:num>
  <w:num w:numId="11" w16cid:durableId="644745176">
    <w:abstractNumId w:val="9"/>
  </w:num>
  <w:num w:numId="12" w16cid:durableId="1635019532">
    <w:abstractNumId w:val="7"/>
  </w:num>
  <w:num w:numId="13" w16cid:durableId="498037569">
    <w:abstractNumId w:val="6"/>
  </w:num>
  <w:num w:numId="14" w16cid:durableId="114446918">
    <w:abstractNumId w:val="5"/>
  </w:num>
  <w:num w:numId="15" w16cid:durableId="99758684">
    <w:abstractNumId w:val="4"/>
  </w:num>
  <w:num w:numId="16" w16cid:durableId="1552960573">
    <w:abstractNumId w:val="8"/>
  </w:num>
  <w:num w:numId="17" w16cid:durableId="30493659">
    <w:abstractNumId w:val="3"/>
  </w:num>
  <w:num w:numId="18" w16cid:durableId="1461680581">
    <w:abstractNumId w:val="2"/>
  </w:num>
  <w:num w:numId="19" w16cid:durableId="919217351">
    <w:abstractNumId w:val="1"/>
  </w:num>
  <w:num w:numId="20" w16cid:durableId="548540545">
    <w:abstractNumId w:val="0"/>
  </w:num>
  <w:num w:numId="21" w16cid:durableId="547255066">
    <w:abstractNumId w:val="15"/>
  </w:num>
  <w:num w:numId="22" w16cid:durableId="1915628530">
    <w:abstractNumId w:val="10"/>
  </w:num>
  <w:num w:numId="23" w16cid:durableId="303436885">
    <w:abstractNumId w:val="11"/>
  </w:num>
  <w:num w:numId="24" w16cid:durableId="479082276">
    <w:abstractNumId w:val="13"/>
  </w:num>
  <w:num w:numId="25" w16cid:durableId="255020856">
    <w:abstractNumId w:val="24"/>
  </w:num>
  <w:num w:numId="26" w16cid:durableId="1766999768">
    <w:abstractNumId w:val="18"/>
  </w:num>
  <w:num w:numId="27" w16cid:durableId="1623076810">
    <w:abstractNumId w:val="27"/>
  </w:num>
  <w:num w:numId="28" w16cid:durableId="558051988">
    <w:abstractNumId w:val="16"/>
  </w:num>
  <w:num w:numId="29" w16cid:durableId="1095057931">
    <w:abstractNumId w:val="19"/>
  </w:num>
  <w:num w:numId="30" w16cid:durableId="1858738719">
    <w:abstractNumId w:val="17"/>
  </w:num>
  <w:num w:numId="31" w16cid:durableId="298415708">
    <w:abstractNumId w:val="11"/>
  </w:num>
  <w:num w:numId="32" w16cid:durableId="1186599362">
    <w:abstractNumId w:val="11"/>
  </w:num>
  <w:num w:numId="33" w16cid:durableId="301076858">
    <w:abstractNumId w:val="14"/>
  </w:num>
  <w:num w:numId="34" w16cid:durableId="585116670">
    <w:abstractNumId w:val="26"/>
  </w:num>
  <w:num w:numId="35" w16cid:durableId="12387868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5C"/>
    <w:rsid w:val="000060D3"/>
    <w:rsid w:val="00016FC4"/>
    <w:rsid w:val="00020B3C"/>
    <w:rsid w:val="00021226"/>
    <w:rsid w:val="00022BDB"/>
    <w:rsid w:val="00025D30"/>
    <w:rsid w:val="0002745D"/>
    <w:rsid w:val="00027EF4"/>
    <w:rsid w:val="00037CF9"/>
    <w:rsid w:val="000410C8"/>
    <w:rsid w:val="000418E0"/>
    <w:rsid w:val="00043568"/>
    <w:rsid w:val="00046AF6"/>
    <w:rsid w:val="000503B7"/>
    <w:rsid w:val="00051683"/>
    <w:rsid w:val="000525C8"/>
    <w:rsid w:val="0005399B"/>
    <w:rsid w:val="0005504E"/>
    <w:rsid w:val="00060421"/>
    <w:rsid w:val="00060F0E"/>
    <w:rsid w:val="00061454"/>
    <w:rsid w:val="000641B9"/>
    <w:rsid w:val="00066B8F"/>
    <w:rsid w:val="00066C94"/>
    <w:rsid w:val="00070784"/>
    <w:rsid w:val="0007201D"/>
    <w:rsid w:val="00072BCF"/>
    <w:rsid w:val="000837C1"/>
    <w:rsid w:val="00090F5A"/>
    <w:rsid w:val="00095344"/>
    <w:rsid w:val="0009591E"/>
    <w:rsid w:val="0009624A"/>
    <w:rsid w:val="000A1251"/>
    <w:rsid w:val="000B4588"/>
    <w:rsid w:val="000B4CE9"/>
    <w:rsid w:val="000B5BFC"/>
    <w:rsid w:val="000B76CE"/>
    <w:rsid w:val="000C4650"/>
    <w:rsid w:val="000C543A"/>
    <w:rsid w:val="000C68D9"/>
    <w:rsid w:val="000C6B62"/>
    <w:rsid w:val="000D25D5"/>
    <w:rsid w:val="000D452F"/>
    <w:rsid w:val="000D6C9B"/>
    <w:rsid w:val="000E0DAF"/>
    <w:rsid w:val="000E1443"/>
    <w:rsid w:val="000E36A6"/>
    <w:rsid w:val="000F0AEA"/>
    <w:rsid w:val="000F4F40"/>
    <w:rsid w:val="000F72F2"/>
    <w:rsid w:val="00103FB6"/>
    <w:rsid w:val="001200A0"/>
    <w:rsid w:val="0013587A"/>
    <w:rsid w:val="0014201C"/>
    <w:rsid w:val="00143154"/>
    <w:rsid w:val="00143A66"/>
    <w:rsid w:val="0014454F"/>
    <w:rsid w:val="00144FB9"/>
    <w:rsid w:val="00145B26"/>
    <w:rsid w:val="00153698"/>
    <w:rsid w:val="001652E2"/>
    <w:rsid w:val="00165E6B"/>
    <w:rsid w:val="0017333F"/>
    <w:rsid w:val="0017367E"/>
    <w:rsid w:val="00180FF3"/>
    <w:rsid w:val="00182AF4"/>
    <w:rsid w:val="001874CE"/>
    <w:rsid w:val="001879CD"/>
    <w:rsid w:val="001934DC"/>
    <w:rsid w:val="001A6273"/>
    <w:rsid w:val="001B2E71"/>
    <w:rsid w:val="001B402D"/>
    <w:rsid w:val="001B4678"/>
    <w:rsid w:val="001B614A"/>
    <w:rsid w:val="001B7B13"/>
    <w:rsid w:val="001C2F3E"/>
    <w:rsid w:val="001E5A66"/>
    <w:rsid w:val="001F02F3"/>
    <w:rsid w:val="002000FA"/>
    <w:rsid w:val="00206770"/>
    <w:rsid w:val="00206A40"/>
    <w:rsid w:val="00227681"/>
    <w:rsid w:val="00231851"/>
    <w:rsid w:val="00231CFE"/>
    <w:rsid w:val="00234B60"/>
    <w:rsid w:val="0024044A"/>
    <w:rsid w:val="00241B35"/>
    <w:rsid w:val="00242A5C"/>
    <w:rsid w:val="0025114A"/>
    <w:rsid w:val="00260544"/>
    <w:rsid w:val="00260D51"/>
    <w:rsid w:val="00265E4D"/>
    <w:rsid w:val="00267875"/>
    <w:rsid w:val="00272EC9"/>
    <w:rsid w:val="0027410A"/>
    <w:rsid w:val="00274B27"/>
    <w:rsid w:val="00274CFE"/>
    <w:rsid w:val="00281B78"/>
    <w:rsid w:val="002842A3"/>
    <w:rsid w:val="00286160"/>
    <w:rsid w:val="00287367"/>
    <w:rsid w:val="002A24ED"/>
    <w:rsid w:val="002A2FF2"/>
    <w:rsid w:val="002A5CE1"/>
    <w:rsid w:val="002B594A"/>
    <w:rsid w:val="002B66AC"/>
    <w:rsid w:val="002C107A"/>
    <w:rsid w:val="002C3463"/>
    <w:rsid w:val="002D020C"/>
    <w:rsid w:val="002D36A1"/>
    <w:rsid w:val="002D5744"/>
    <w:rsid w:val="002F5C94"/>
    <w:rsid w:val="002F7420"/>
    <w:rsid w:val="00300050"/>
    <w:rsid w:val="003033EB"/>
    <w:rsid w:val="00305C17"/>
    <w:rsid w:val="00305C66"/>
    <w:rsid w:val="00306057"/>
    <w:rsid w:val="00306C22"/>
    <w:rsid w:val="00310429"/>
    <w:rsid w:val="003124B7"/>
    <w:rsid w:val="00322F33"/>
    <w:rsid w:val="003245AB"/>
    <w:rsid w:val="00325EB0"/>
    <w:rsid w:val="003261B4"/>
    <w:rsid w:val="003273E1"/>
    <w:rsid w:val="00327755"/>
    <w:rsid w:val="003371B6"/>
    <w:rsid w:val="0034418E"/>
    <w:rsid w:val="0034449E"/>
    <w:rsid w:val="00345CCE"/>
    <w:rsid w:val="003469B2"/>
    <w:rsid w:val="00350FE1"/>
    <w:rsid w:val="00356075"/>
    <w:rsid w:val="00362A66"/>
    <w:rsid w:val="00363687"/>
    <w:rsid w:val="00364158"/>
    <w:rsid w:val="00365D61"/>
    <w:rsid w:val="00366A34"/>
    <w:rsid w:val="0037356A"/>
    <w:rsid w:val="0037357C"/>
    <w:rsid w:val="00373581"/>
    <w:rsid w:val="00376F52"/>
    <w:rsid w:val="00382817"/>
    <w:rsid w:val="00384103"/>
    <w:rsid w:val="003B3165"/>
    <w:rsid w:val="003B4174"/>
    <w:rsid w:val="003B6807"/>
    <w:rsid w:val="003B6A53"/>
    <w:rsid w:val="003C0E43"/>
    <w:rsid w:val="003C52CA"/>
    <w:rsid w:val="003C57E0"/>
    <w:rsid w:val="003C673C"/>
    <w:rsid w:val="003C6EEC"/>
    <w:rsid w:val="003D1DDC"/>
    <w:rsid w:val="003D564F"/>
    <w:rsid w:val="003D7318"/>
    <w:rsid w:val="003D7691"/>
    <w:rsid w:val="003E10F5"/>
    <w:rsid w:val="003E38EA"/>
    <w:rsid w:val="003E6561"/>
    <w:rsid w:val="003F2023"/>
    <w:rsid w:val="003F2B60"/>
    <w:rsid w:val="003F6941"/>
    <w:rsid w:val="00404595"/>
    <w:rsid w:val="00405433"/>
    <w:rsid w:val="0040716C"/>
    <w:rsid w:val="00410A0C"/>
    <w:rsid w:val="00415203"/>
    <w:rsid w:val="00422F42"/>
    <w:rsid w:val="004261B6"/>
    <w:rsid w:val="00430FA6"/>
    <w:rsid w:val="004366A1"/>
    <w:rsid w:val="004378A4"/>
    <w:rsid w:val="00443948"/>
    <w:rsid w:val="00445C40"/>
    <w:rsid w:val="00445F8E"/>
    <w:rsid w:val="004511FD"/>
    <w:rsid w:val="00451280"/>
    <w:rsid w:val="004522D5"/>
    <w:rsid w:val="00456F9A"/>
    <w:rsid w:val="00462581"/>
    <w:rsid w:val="00465C6B"/>
    <w:rsid w:val="00471BE8"/>
    <w:rsid w:val="004868DE"/>
    <w:rsid w:val="00487A4C"/>
    <w:rsid w:val="00487EE8"/>
    <w:rsid w:val="00491CFA"/>
    <w:rsid w:val="00493E77"/>
    <w:rsid w:val="00496AA3"/>
    <w:rsid w:val="004A1D72"/>
    <w:rsid w:val="004A4174"/>
    <w:rsid w:val="004A4FBD"/>
    <w:rsid w:val="004A7D47"/>
    <w:rsid w:val="004B7FCE"/>
    <w:rsid w:val="004C15FC"/>
    <w:rsid w:val="004C4985"/>
    <w:rsid w:val="004C69CD"/>
    <w:rsid w:val="004E2B00"/>
    <w:rsid w:val="004E69AC"/>
    <w:rsid w:val="004E7BE8"/>
    <w:rsid w:val="004E7ECC"/>
    <w:rsid w:val="004F076A"/>
    <w:rsid w:val="004F2C27"/>
    <w:rsid w:val="004F43C3"/>
    <w:rsid w:val="004F7239"/>
    <w:rsid w:val="00503035"/>
    <w:rsid w:val="00503655"/>
    <w:rsid w:val="005065B1"/>
    <w:rsid w:val="00511A8C"/>
    <w:rsid w:val="00515955"/>
    <w:rsid w:val="00516C91"/>
    <w:rsid w:val="005205C2"/>
    <w:rsid w:val="005236F6"/>
    <w:rsid w:val="005251C5"/>
    <w:rsid w:val="00530703"/>
    <w:rsid w:val="00536D30"/>
    <w:rsid w:val="00541FD2"/>
    <w:rsid w:val="00543049"/>
    <w:rsid w:val="005430F6"/>
    <w:rsid w:val="00546BB2"/>
    <w:rsid w:val="005521AA"/>
    <w:rsid w:val="00552397"/>
    <w:rsid w:val="005605CB"/>
    <w:rsid w:val="005645A3"/>
    <w:rsid w:val="005661AC"/>
    <w:rsid w:val="00567673"/>
    <w:rsid w:val="00572F18"/>
    <w:rsid w:val="005762A2"/>
    <w:rsid w:val="00582143"/>
    <w:rsid w:val="005859B0"/>
    <w:rsid w:val="00596EDF"/>
    <w:rsid w:val="005A0EA9"/>
    <w:rsid w:val="005A3923"/>
    <w:rsid w:val="005B750C"/>
    <w:rsid w:val="005C5DD4"/>
    <w:rsid w:val="005D59D3"/>
    <w:rsid w:val="005E247E"/>
    <w:rsid w:val="005E2C54"/>
    <w:rsid w:val="005F1A06"/>
    <w:rsid w:val="005F4272"/>
    <w:rsid w:val="005F61A9"/>
    <w:rsid w:val="0060167A"/>
    <w:rsid w:val="006062AE"/>
    <w:rsid w:val="00607657"/>
    <w:rsid w:val="00613C94"/>
    <w:rsid w:val="0062739A"/>
    <w:rsid w:val="00634227"/>
    <w:rsid w:val="00637BB2"/>
    <w:rsid w:val="00642B09"/>
    <w:rsid w:val="00650119"/>
    <w:rsid w:val="0065444A"/>
    <w:rsid w:val="00654A35"/>
    <w:rsid w:val="0066509A"/>
    <w:rsid w:val="00666123"/>
    <w:rsid w:val="0067210F"/>
    <w:rsid w:val="00672E38"/>
    <w:rsid w:val="00673EA3"/>
    <w:rsid w:val="00674AF1"/>
    <w:rsid w:val="0067597F"/>
    <w:rsid w:val="00684BD8"/>
    <w:rsid w:val="006871A1"/>
    <w:rsid w:val="00691CC9"/>
    <w:rsid w:val="00693FB6"/>
    <w:rsid w:val="00695107"/>
    <w:rsid w:val="00697F7C"/>
    <w:rsid w:val="006A6F27"/>
    <w:rsid w:val="006D2A8C"/>
    <w:rsid w:val="006D2E86"/>
    <w:rsid w:val="006D4202"/>
    <w:rsid w:val="006D47BA"/>
    <w:rsid w:val="006D5B63"/>
    <w:rsid w:val="006D7897"/>
    <w:rsid w:val="006E638B"/>
    <w:rsid w:val="006F0579"/>
    <w:rsid w:val="006F32FB"/>
    <w:rsid w:val="006F3F1F"/>
    <w:rsid w:val="006F420C"/>
    <w:rsid w:val="006F78BD"/>
    <w:rsid w:val="00700C1B"/>
    <w:rsid w:val="007062C1"/>
    <w:rsid w:val="00714AB5"/>
    <w:rsid w:val="007161BF"/>
    <w:rsid w:val="00716A22"/>
    <w:rsid w:val="00717CCA"/>
    <w:rsid w:val="00722D0C"/>
    <w:rsid w:val="0073341A"/>
    <w:rsid w:val="0074043B"/>
    <w:rsid w:val="00743060"/>
    <w:rsid w:val="007439B5"/>
    <w:rsid w:val="00752563"/>
    <w:rsid w:val="007556C9"/>
    <w:rsid w:val="00756124"/>
    <w:rsid w:val="00756741"/>
    <w:rsid w:val="00765EA9"/>
    <w:rsid w:val="0076622B"/>
    <w:rsid w:val="00767ED6"/>
    <w:rsid w:val="00774652"/>
    <w:rsid w:val="007773D1"/>
    <w:rsid w:val="00793951"/>
    <w:rsid w:val="00794E40"/>
    <w:rsid w:val="007A56E9"/>
    <w:rsid w:val="007B5461"/>
    <w:rsid w:val="007C0553"/>
    <w:rsid w:val="007D3992"/>
    <w:rsid w:val="007D49E0"/>
    <w:rsid w:val="007E25AC"/>
    <w:rsid w:val="007F10F1"/>
    <w:rsid w:val="007F69B3"/>
    <w:rsid w:val="0081114D"/>
    <w:rsid w:val="00813875"/>
    <w:rsid w:val="00814C56"/>
    <w:rsid w:val="00814DBD"/>
    <w:rsid w:val="008151A6"/>
    <w:rsid w:val="008154AB"/>
    <w:rsid w:val="00816A9E"/>
    <w:rsid w:val="00823EDA"/>
    <w:rsid w:val="00834344"/>
    <w:rsid w:val="00836C8C"/>
    <w:rsid w:val="00837947"/>
    <w:rsid w:val="00840414"/>
    <w:rsid w:val="00842684"/>
    <w:rsid w:val="00856C74"/>
    <w:rsid w:val="00861CD8"/>
    <w:rsid w:val="00862689"/>
    <w:rsid w:val="00883F82"/>
    <w:rsid w:val="00884760"/>
    <w:rsid w:val="0089522A"/>
    <w:rsid w:val="00895296"/>
    <w:rsid w:val="0089593F"/>
    <w:rsid w:val="008B51B2"/>
    <w:rsid w:val="008B57F7"/>
    <w:rsid w:val="008B7429"/>
    <w:rsid w:val="008C688C"/>
    <w:rsid w:val="008C7515"/>
    <w:rsid w:val="008D0FC2"/>
    <w:rsid w:val="008D25F6"/>
    <w:rsid w:val="008E0079"/>
    <w:rsid w:val="008E0DEB"/>
    <w:rsid w:val="008F0CE5"/>
    <w:rsid w:val="008F2345"/>
    <w:rsid w:val="00903FD7"/>
    <w:rsid w:val="00906E5F"/>
    <w:rsid w:val="009116CC"/>
    <w:rsid w:val="00914139"/>
    <w:rsid w:val="0091435F"/>
    <w:rsid w:val="00920920"/>
    <w:rsid w:val="009236A8"/>
    <w:rsid w:val="00923C65"/>
    <w:rsid w:val="009309C5"/>
    <w:rsid w:val="00931B2C"/>
    <w:rsid w:val="00940D90"/>
    <w:rsid w:val="00941E6E"/>
    <w:rsid w:val="00950400"/>
    <w:rsid w:val="009514BB"/>
    <w:rsid w:val="00953C56"/>
    <w:rsid w:val="00953C91"/>
    <w:rsid w:val="00960C26"/>
    <w:rsid w:val="0096237C"/>
    <w:rsid w:val="00963472"/>
    <w:rsid w:val="009649DF"/>
    <w:rsid w:val="00964CC3"/>
    <w:rsid w:val="00966B17"/>
    <w:rsid w:val="00976839"/>
    <w:rsid w:val="00980973"/>
    <w:rsid w:val="00985012"/>
    <w:rsid w:val="0098528F"/>
    <w:rsid w:val="00996281"/>
    <w:rsid w:val="009973D3"/>
    <w:rsid w:val="009A17D8"/>
    <w:rsid w:val="009A33F6"/>
    <w:rsid w:val="009B1E35"/>
    <w:rsid w:val="009C454D"/>
    <w:rsid w:val="009C5BC3"/>
    <w:rsid w:val="009E10C0"/>
    <w:rsid w:val="009E5016"/>
    <w:rsid w:val="009E724B"/>
    <w:rsid w:val="009F281A"/>
    <w:rsid w:val="009F31BB"/>
    <w:rsid w:val="009F33C7"/>
    <w:rsid w:val="009F3851"/>
    <w:rsid w:val="009F3DDB"/>
    <w:rsid w:val="009F5387"/>
    <w:rsid w:val="009F6AA4"/>
    <w:rsid w:val="00A07D24"/>
    <w:rsid w:val="00A10945"/>
    <w:rsid w:val="00A15A21"/>
    <w:rsid w:val="00A22D83"/>
    <w:rsid w:val="00A244D2"/>
    <w:rsid w:val="00A24A74"/>
    <w:rsid w:val="00A26A78"/>
    <w:rsid w:val="00A31A8F"/>
    <w:rsid w:val="00A37C28"/>
    <w:rsid w:val="00A44EB8"/>
    <w:rsid w:val="00A467A8"/>
    <w:rsid w:val="00A54EE8"/>
    <w:rsid w:val="00A60E74"/>
    <w:rsid w:val="00A632C2"/>
    <w:rsid w:val="00A657F9"/>
    <w:rsid w:val="00A717A4"/>
    <w:rsid w:val="00A746F7"/>
    <w:rsid w:val="00A84384"/>
    <w:rsid w:val="00A91D88"/>
    <w:rsid w:val="00A93F44"/>
    <w:rsid w:val="00A95026"/>
    <w:rsid w:val="00A9508E"/>
    <w:rsid w:val="00A96127"/>
    <w:rsid w:val="00A96144"/>
    <w:rsid w:val="00AA5CBA"/>
    <w:rsid w:val="00AB1440"/>
    <w:rsid w:val="00AB1C0A"/>
    <w:rsid w:val="00AB4C51"/>
    <w:rsid w:val="00AB4DDD"/>
    <w:rsid w:val="00AB5B73"/>
    <w:rsid w:val="00AB7DA0"/>
    <w:rsid w:val="00AC519B"/>
    <w:rsid w:val="00AC558A"/>
    <w:rsid w:val="00AE1699"/>
    <w:rsid w:val="00AF2D59"/>
    <w:rsid w:val="00B0651C"/>
    <w:rsid w:val="00B17A8B"/>
    <w:rsid w:val="00B310AD"/>
    <w:rsid w:val="00B34D93"/>
    <w:rsid w:val="00B36F37"/>
    <w:rsid w:val="00B412A7"/>
    <w:rsid w:val="00B51AE8"/>
    <w:rsid w:val="00B538B3"/>
    <w:rsid w:val="00B548F4"/>
    <w:rsid w:val="00B560F1"/>
    <w:rsid w:val="00B56ADE"/>
    <w:rsid w:val="00B60706"/>
    <w:rsid w:val="00B642E6"/>
    <w:rsid w:val="00B64E64"/>
    <w:rsid w:val="00B7240C"/>
    <w:rsid w:val="00B72699"/>
    <w:rsid w:val="00B74299"/>
    <w:rsid w:val="00B8089C"/>
    <w:rsid w:val="00B80EA2"/>
    <w:rsid w:val="00B82A98"/>
    <w:rsid w:val="00B86CD2"/>
    <w:rsid w:val="00B87321"/>
    <w:rsid w:val="00B9526E"/>
    <w:rsid w:val="00BA0096"/>
    <w:rsid w:val="00BA66D3"/>
    <w:rsid w:val="00BA722E"/>
    <w:rsid w:val="00BA76DE"/>
    <w:rsid w:val="00BC10B4"/>
    <w:rsid w:val="00BC72FC"/>
    <w:rsid w:val="00BC793D"/>
    <w:rsid w:val="00BD233B"/>
    <w:rsid w:val="00BD6A0D"/>
    <w:rsid w:val="00BD6FC2"/>
    <w:rsid w:val="00BD7437"/>
    <w:rsid w:val="00BE62E8"/>
    <w:rsid w:val="00BE769F"/>
    <w:rsid w:val="00BF0B88"/>
    <w:rsid w:val="00BF6460"/>
    <w:rsid w:val="00C0010A"/>
    <w:rsid w:val="00C05EB6"/>
    <w:rsid w:val="00C13E46"/>
    <w:rsid w:val="00C156E5"/>
    <w:rsid w:val="00C214C3"/>
    <w:rsid w:val="00C2175C"/>
    <w:rsid w:val="00C21B40"/>
    <w:rsid w:val="00C23757"/>
    <w:rsid w:val="00C27548"/>
    <w:rsid w:val="00C3375E"/>
    <w:rsid w:val="00C345C7"/>
    <w:rsid w:val="00C41C51"/>
    <w:rsid w:val="00C531C9"/>
    <w:rsid w:val="00C60E0B"/>
    <w:rsid w:val="00C7558A"/>
    <w:rsid w:val="00C761B5"/>
    <w:rsid w:val="00C91147"/>
    <w:rsid w:val="00C92632"/>
    <w:rsid w:val="00C964B4"/>
    <w:rsid w:val="00C97095"/>
    <w:rsid w:val="00CA1838"/>
    <w:rsid w:val="00CB0112"/>
    <w:rsid w:val="00CB4ECC"/>
    <w:rsid w:val="00CB5F07"/>
    <w:rsid w:val="00CB7694"/>
    <w:rsid w:val="00CC10CD"/>
    <w:rsid w:val="00CC23A3"/>
    <w:rsid w:val="00CC2976"/>
    <w:rsid w:val="00CC4193"/>
    <w:rsid w:val="00CC4883"/>
    <w:rsid w:val="00CD7F11"/>
    <w:rsid w:val="00CE655B"/>
    <w:rsid w:val="00CF3F5F"/>
    <w:rsid w:val="00CF4593"/>
    <w:rsid w:val="00CF7AFF"/>
    <w:rsid w:val="00D02929"/>
    <w:rsid w:val="00D033B7"/>
    <w:rsid w:val="00D07CD5"/>
    <w:rsid w:val="00D21562"/>
    <w:rsid w:val="00D26961"/>
    <w:rsid w:val="00D30AF2"/>
    <w:rsid w:val="00D32C3E"/>
    <w:rsid w:val="00D330DC"/>
    <w:rsid w:val="00D35993"/>
    <w:rsid w:val="00D53C20"/>
    <w:rsid w:val="00D55361"/>
    <w:rsid w:val="00D61878"/>
    <w:rsid w:val="00D703FD"/>
    <w:rsid w:val="00D747EA"/>
    <w:rsid w:val="00D75455"/>
    <w:rsid w:val="00D86646"/>
    <w:rsid w:val="00D91F82"/>
    <w:rsid w:val="00D95089"/>
    <w:rsid w:val="00D97C73"/>
    <w:rsid w:val="00DA1D38"/>
    <w:rsid w:val="00DA6B82"/>
    <w:rsid w:val="00DB2C2F"/>
    <w:rsid w:val="00DB448F"/>
    <w:rsid w:val="00DB5A61"/>
    <w:rsid w:val="00DC2FE1"/>
    <w:rsid w:val="00DC6629"/>
    <w:rsid w:val="00DD75BC"/>
    <w:rsid w:val="00DE0544"/>
    <w:rsid w:val="00DE53E0"/>
    <w:rsid w:val="00DE6D5D"/>
    <w:rsid w:val="00DF217F"/>
    <w:rsid w:val="00DF362C"/>
    <w:rsid w:val="00E0499B"/>
    <w:rsid w:val="00E0665E"/>
    <w:rsid w:val="00E12475"/>
    <w:rsid w:val="00E154D7"/>
    <w:rsid w:val="00E15F68"/>
    <w:rsid w:val="00E160CF"/>
    <w:rsid w:val="00E167A1"/>
    <w:rsid w:val="00E2186A"/>
    <w:rsid w:val="00E22E25"/>
    <w:rsid w:val="00E25039"/>
    <w:rsid w:val="00E304C6"/>
    <w:rsid w:val="00E3170A"/>
    <w:rsid w:val="00E33FCA"/>
    <w:rsid w:val="00E35ACF"/>
    <w:rsid w:val="00E60250"/>
    <w:rsid w:val="00E60ACF"/>
    <w:rsid w:val="00E667EC"/>
    <w:rsid w:val="00E8200E"/>
    <w:rsid w:val="00E82BDA"/>
    <w:rsid w:val="00E846AC"/>
    <w:rsid w:val="00E96DAD"/>
    <w:rsid w:val="00EA41D8"/>
    <w:rsid w:val="00EA7A05"/>
    <w:rsid w:val="00EB1786"/>
    <w:rsid w:val="00EB5C43"/>
    <w:rsid w:val="00EB6A70"/>
    <w:rsid w:val="00EB7228"/>
    <w:rsid w:val="00ED7CF2"/>
    <w:rsid w:val="00EE35E3"/>
    <w:rsid w:val="00EF3663"/>
    <w:rsid w:val="00F01278"/>
    <w:rsid w:val="00F013E3"/>
    <w:rsid w:val="00F03146"/>
    <w:rsid w:val="00F049F4"/>
    <w:rsid w:val="00F05F0B"/>
    <w:rsid w:val="00F064E9"/>
    <w:rsid w:val="00F07CEF"/>
    <w:rsid w:val="00F15D25"/>
    <w:rsid w:val="00F21533"/>
    <w:rsid w:val="00F25219"/>
    <w:rsid w:val="00F279AA"/>
    <w:rsid w:val="00F31146"/>
    <w:rsid w:val="00F369EF"/>
    <w:rsid w:val="00F40533"/>
    <w:rsid w:val="00F458D3"/>
    <w:rsid w:val="00F4779C"/>
    <w:rsid w:val="00F51AEC"/>
    <w:rsid w:val="00F54605"/>
    <w:rsid w:val="00F54A7E"/>
    <w:rsid w:val="00F57A0C"/>
    <w:rsid w:val="00F64C90"/>
    <w:rsid w:val="00F65F2A"/>
    <w:rsid w:val="00F65FF9"/>
    <w:rsid w:val="00F666AA"/>
    <w:rsid w:val="00F666AE"/>
    <w:rsid w:val="00F67D58"/>
    <w:rsid w:val="00F76733"/>
    <w:rsid w:val="00F91143"/>
    <w:rsid w:val="00F95E56"/>
    <w:rsid w:val="00FA43C2"/>
    <w:rsid w:val="00FA5B5A"/>
    <w:rsid w:val="00FB1527"/>
    <w:rsid w:val="00FC3B5D"/>
    <w:rsid w:val="00FC72BC"/>
    <w:rsid w:val="00FD0FB3"/>
    <w:rsid w:val="00FE2FF6"/>
    <w:rsid w:val="00FE64A5"/>
    <w:rsid w:val="00FF0491"/>
    <w:rsid w:val="00FF11F4"/>
    <w:rsid w:val="00FF2126"/>
    <w:rsid w:val="00FF48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200"/>
  <w15:docId w15:val="{B98C4545-5C9B-48CD-BFFC-E4DC778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02929"/>
    <w:rPr>
      <w:rFonts w:ascii="Calibri" w:hAnsi="Calibri"/>
    </w:rPr>
  </w:style>
  <w:style w:type="paragraph" w:styleId="Heading1">
    <w:name w:val="heading 1"/>
    <w:basedOn w:val="Normal"/>
    <w:next w:val="Normal"/>
    <w:link w:val="Heading1Char"/>
    <w:qFormat/>
    <w:rsid w:val="00C91147"/>
    <w:pPr>
      <w:keepNext/>
      <w:numPr>
        <w:numId w:val="5"/>
      </w:numPr>
      <w:spacing w:before="720" w:after="360" w:line="240" w:lineRule="auto"/>
      <w:ind w:left="720" w:hanging="720"/>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985012"/>
    <w:pPr>
      <w:keepNext/>
      <w:numPr>
        <w:ilvl w:val="1"/>
        <w:numId w:val="5"/>
      </w:numPr>
      <w:spacing w:before="360" w:line="240" w:lineRule="auto"/>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3"/>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0"/>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6"/>
      </w:numPr>
      <w:ind w:left="1440"/>
    </w:pPr>
  </w:style>
  <w:style w:type="paragraph" w:customStyle="1" w:styleId="BulletList3">
    <w:name w:val="Bullet List 3"/>
    <w:basedOn w:val="BulletList2"/>
    <w:link w:val="BulletList3Char"/>
    <w:qFormat/>
    <w:rsid w:val="00FF2126"/>
    <w:pPr>
      <w:numPr>
        <w:numId w:val="2"/>
      </w:numPr>
      <w:tabs>
        <w:tab w:val="num" w:pos="360"/>
      </w:tabs>
      <w:ind w:left="1440"/>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semiHidden/>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4C15FC"/>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qFormat/>
    <w:rsid w:val="00FF2126"/>
    <w:pPr>
      <w:numPr>
        <w:numId w:val="1"/>
      </w:numPr>
      <w:spacing w:line="240" w:lineRule="auto"/>
      <w:ind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uiPriority w:val="1"/>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uiPriority w:val="1"/>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nhideWhenUsed/>
    <w:qFormat/>
    <w:rsid w:val="00DF217F"/>
    <w:pPr>
      <w:spacing w:after="120"/>
    </w:pPr>
  </w:style>
  <w:style w:type="character" w:customStyle="1" w:styleId="BodyTextChar">
    <w:name w:val="Body Text Char"/>
    <w:basedOn w:val="DefaultParagraphFont"/>
    <w:link w:val="BodyText"/>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4"/>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9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7"/>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8"/>
      </w:numPr>
    </w:pPr>
  </w:style>
  <w:style w:type="paragraph" w:customStyle="1" w:styleId="NumberedList3">
    <w:name w:val="Numbered List 3"/>
    <w:basedOn w:val="NumberedList2"/>
    <w:qFormat/>
    <w:rsid w:val="005645A3"/>
    <w:pPr>
      <w:numPr>
        <w:numId w:val="9"/>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semiHidden/>
    <w:unhideWhenUsed/>
    <w:rsid w:val="0024044A"/>
    <w:rPr>
      <w:sz w:val="16"/>
      <w:szCs w:val="16"/>
    </w:rPr>
  </w:style>
  <w:style w:type="paragraph" w:styleId="CommentText">
    <w:name w:val="annotation text"/>
    <w:basedOn w:val="Normal"/>
    <w:link w:val="CommentTextChar"/>
    <w:unhideWhenUsed/>
    <w:rsid w:val="0024044A"/>
    <w:pPr>
      <w:spacing w:line="240" w:lineRule="auto"/>
    </w:pPr>
    <w:rPr>
      <w:sz w:val="20"/>
      <w:szCs w:val="20"/>
    </w:rPr>
  </w:style>
  <w:style w:type="character" w:customStyle="1" w:styleId="CommentTextChar">
    <w:name w:val="Comment Text Char"/>
    <w:basedOn w:val="DefaultParagraphFont"/>
    <w:link w:val="CommentText"/>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character" w:styleId="Hyperlink">
    <w:name w:val="Hyperlink"/>
    <w:basedOn w:val="DefaultParagraphFont"/>
    <w:uiPriority w:val="99"/>
    <w:unhideWhenUsed/>
    <w:rsid w:val="00F67D58"/>
    <w:rPr>
      <w:color w:val="000000" w:themeColor="hyperlink"/>
      <w:u w:val="single"/>
    </w:rPr>
  </w:style>
  <w:style w:type="character" w:styleId="UnresolvedMention">
    <w:name w:val="Unresolved Mention"/>
    <w:basedOn w:val="DefaultParagraphFont"/>
    <w:uiPriority w:val="99"/>
    <w:semiHidden/>
    <w:unhideWhenUsed/>
    <w:rsid w:val="00765EA9"/>
    <w:rPr>
      <w:color w:val="605E5C"/>
      <w:shd w:val="clear" w:color="auto" w:fill="E1DFDD"/>
    </w:rPr>
  </w:style>
  <w:style w:type="paragraph" w:styleId="Revision">
    <w:name w:val="Revision"/>
    <w:hidden/>
    <w:uiPriority w:val="99"/>
    <w:semiHidden/>
    <w:rsid w:val="009F538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882">
      <w:bodyDiv w:val="1"/>
      <w:marLeft w:val="0"/>
      <w:marRight w:val="0"/>
      <w:marTop w:val="0"/>
      <w:marBottom w:val="0"/>
      <w:divBdr>
        <w:top w:val="none" w:sz="0" w:space="0" w:color="auto"/>
        <w:left w:val="none" w:sz="0" w:space="0" w:color="auto"/>
        <w:bottom w:val="none" w:sz="0" w:space="0" w:color="auto"/>
        <w:right w:val="none" w:sz="0" w:space="0" w:color="auto"/>
      </w:divBdr>
    </w:div>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402803180">
      <w:bodyDiv w:val="1"/>
      <w:marLeft w:val="0"/>
      <w:marRight w:val="0"/>
      <w:marTop w:val="0"/>
      <w:marBottom w:val="0"/>
      <w:divBdr>
        <w:top w:val="none" w:sz="0" w:space="0" w:color="auto"/>
        <w:left w:val="none" w:sz="0" w:space="0" w:color="auto"/>
        <w:bottom w:val="none" w:sz="0" w:space="0" w:color="auto"/>
        <w:right w:val="none" w:sz="0" w:space="0" w:color="auto"/>
      </w:divBdr>
      <w:divsChild>
        <w:div w:id="1702901608">
          <w:marLeft w:val="0"/>
          <w:marRight w:val="0"/>
          <w:marTop w:val="0"/>
          <w:marBottom w:val="0"/>
          <w:divBdr>
            <w:top w:val="none" w:sz="0" w:space="0" w:color="auto"/>
            <w:left w:val="none" w:sz="0" w:space="0" w:color="auto"/>
            <w:bottom w:val="none" w:sz="0" w:space="0" w:color="auto"/>
            <w:right w:val="none" w:sz="0" w:space="0" w:color="auto"/>
          </w:divBdr>
          <w:divsChild>
            <w:div w:id="5869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586810768">
      <w:bodyDiv w:val="1"/>
      <w:marLeft w:val="0"/>
      <w:marRight w:val="0"/>
      <w:marTop w:val="0"/>
      <w:marBottom w:val="0"/>
      <w:divBdr>
        <w:top w:val="none" w:sz="0" w:space="0" w:color="auto"/>
        <w:left w:val="none" w:sz="0" w:space="0" w:color="auto"/>
        <w:bottom w:val="none" w:sz="0" w:space="0" w:color="auto"/>
        <w:right w:val="none" w:sz="0" w:space="0" w:color="auto"/>
      </w:divBdr>
    </w:div>
    <w:div w:id="730735682">
      <w:bodyDiv w:val="1"/>
      <w:marLeft w:val="0"/>
      <w:marRight w:val="0"/>
      <w:marTop w:val="0"/>
      <w:marBottom w:val="0"/>
      <w:divBdr>
        <w:top w:val="none" w:sz="0" w:space="0" w:color="auto"/>
        <w:left w:val="none" w:sz="0" w:space="0" w:color="auto"/>
        <w:bottom w:val="none" w:sz="0" w:space="0" w:color="auto"/>
        <w:right w:val="none" w:sz="0" w:space="0" w:color="auto"/>
      </w:divBdr>
    </w:div>
    <w:div w:id="1070470421">
      <w:bodyDiv w:val="1"/>
      <w:marLeft w:val="0"/>
      <w:marRight w:val="0"/>
      <w:marTop w:val="0"/>
      <w:marBottom w:val="0"/>
      <w:divBdr>
        <w:top w:val="none" w:sz="0" w:space="0" w:color="auto"/>
        <w:left w:val="none" w:sz="0" w:space="0" w:color="auto"/>
        <w:bottom w:val="none" w:sz="0" w:space="0" w:color="auto"/>
        <w:right w:val="none" w:sz="0" w:space="0" w:color="auto"/>
      </w:divBdr>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267620858">
      <w:bodyDiv w:val="1"/>
      <w:marLeft w:val="0"/>
      <w:marRight w:val="0"/>
      <w:marTop w:val="0"/>
      <w:marBottom w:val="0"/>
      <w:divBdr>
        <w:top w:val="none" w:sz="0" w:space="0" w:color="auto"/>
        <w:left w:val="none" w:sz="0" w:space="0" w:color="auto"/>
        <w:bottom w:val="none" w:sz="0" w:space="0" w:color="auto"/>
        <w:right w:val="none" w:sz="0" w:space="0" w:color="auto"/>
      </w:divBdr>
    </w:div>
    <w:div w:id="1300764278">
      <w:bodyDiv w:val="1"/>
      <w:marLeft w:val="0"/>
      <w:marRight w:val="0"/>
      <w:marTop w:val="0"/>
      <w:marBottom w:val="0"/>
      <w:divBdr>
        <w:top w:val="none" w:sz="0" w:space="0" w:color="auto"/>
        <w:left w:val="none" w:sz="0" w:space="0" w:color="auto"/>
        <w:bottom w:val="none" w:sz="0" w:space="0" w:color="auto"/>
        <w:right w:val="none" w:sz="0" w:space="0" w:color="auto"/>
      </w:divBdr>
    </w:div>
    <w:div w:id="1534998822">
      <w:bodyDiv w:val="1"/>
      <w:marLeft w:val="0"/>
      <w:marRight w:val="0"/>
      <w:marTop w:val="0"/>
      <w:marBottom w:val="0"/>
      <w:divBdr>
        <w:top w:val="none" w:sz="0" w:space="0" w:color="auto"/>
        <w:left w:val="none" w:sz="0" w:space="0" w:color="auto"/>
        <w:bottom w:val="none" w:sz="0" w:space="0" w:color="auto"/>
        <w:right w:val="none" w:sz="0" w:space="0" w:color="auto"/>
      </w:divBdr>
      <w:divsChild>
        <w:div w:id="1348170846">
          <w:marLeft w:val="0"/>
          <w:marRight w:val="0"/>
          <w:marTop w:val="0"/>
          <w:marBottom w:val="0"/>
          <w:divBdr>
            <w:top w:val="none" w:sz="0" w:space="0" w:color="auto"/>
            <w:left w:val="none" w:sz="0" w:space="0" w:color="auto"/>
            <w:bottom w:val="none" w:sz="0" w:space="0" w:color="auto"/>
            <w:right w:val="none" w:sz="0" w:space="0" w:color="auto"/>
          </w:divBdr>
          <w:divsChild>
            <w:div w:id="3395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ynapse-energy.com"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utilitydive.com/news/dominion-energy-miss-efficiency-savings-impact-gas-peakers-virginia/722940/" TargetMode="External"/><Relationship Id="rId3" Type="http://schemas.openxmlformats.org/officeDocument/2006/relationships/hyperlink" Target="https://www.ft.com/content/68f8f011-d615-41fb-8ad8-65aa9b49b9ef" TargetMode="External"/><Relationship Id="rId7" Type="http://schemas.openxmlformats.org/officeDocument/2006/relationships/hyperlink" Target="https://www.scc.virginia.gov/docketsearch/DOCS/831601!.PDF" TargetMode="External"/><Relationship Id="rId2" Type="http://schemas.openxmlformats.org/officeDocument/2006/relationships/hyperlink" Target="https://rmi.org/rebalancing-return-on-equity-to-accelerate-an-affordable-clean-energy-future" TargetMode="External"/><Relationship Id="rId1" Type="http://schemas.openxmlformats.org/officeDocument/2006/relationships/hyperlink" Target="https://haas.berkeley.edu/wp-content/uploads/WP329.pdf" TargetMode="External"/><Relationship Id="rId6" Type="http://schemas.openxmlformats.org/officeDocument/2006/relationships/hyperlink" Target="https://www.scc.virginia.gov/docketsearch/DOCS/67@c01!.PDF" TargetMode="External"/><Relationship Id="rId5" Type="http://schemas.openxmlformats.org/officeDocument/2006/relationships/hyperlink" Target="https://www.scc.virginia.gov/docketsearch/DOCS/7zw401%21.PDF" TargetMode="External"/><Relationship Id="rId4" Type="http://schemas.openxmlformats.org/officeDocument/2006/relationships/hyperlink" Target="https://rmi.org/wp-content/uploads/2020/07/rmi_pims_for_progress.pdf" TargetMode="External"/><Relationship Id="rId9" Type="http://schemas.openxmlformats.org/officeDocument/2006/relationships/hyperlink" Target="https://puc.hawaii.gov/wp-content/uploads/2020/12/PBR-Phase-2-DO-5-Page-Summary.Final_.12-22-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vumaki\Downloads\template%20-%20draft%20report%20(2).dotx" TargetMode="External"/></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F78587022F4419013A8A07848007E" ma:contentTypeVersion="1" ma:contentTypeDescription="Create a new document." ma:contentTypeScope="" ma:versionID="117763a7aba4069641c326733236adf9">
  <xsd:schema xmlns:xsd="http://www.w3.org/2001/XMLSchema" xmlns:xs="http://www.w3.org/2001/XMLSchema" xmlns:p="http://schemas.microsoft.com/office/2006/metadata/properties" xmlns:ns2="4b54f95a-c392-4915-b50c-618f44f31247" targetNamespace="http://schemas.microsoft.com/office/2006/metadata/properties" ma:root="true" ma:fieldsID="1fbff1f4a39622302fe098e13c6d823d" ns2:_="">
    <xsd:import namespace="4b54f95a-c392-4915-b50c-618f44f31247"/>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f95a-c392-4915-b50c-618f44f312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Pre-review Notes"/>
                        <xsd:enumeration value="Completed Review Forms"/>
                        <xsd:enumeration value="Completed Review Notes"/>
                        <xsd:enumeration value="Planning"/>
                        <xsd:enumeration value="Analysis"/>
                        <xsd:enumeration value="Orientation Scheduling and Tracking"/>
                        <xsd:enumeration value="Orientation Materials"/>
                        <xsd:enumeration value="Orientation Process Planning"/>
                        <xsd:enumeration value="Consulting Skills"/>
                        <xsd:enumeration value="Newbie Buddy Program"/>
                        <xsd:enumeration value="Consulting Skills Training"/>
                        <xsd:enumeration value="Excel Training"/>
                        <xsd:enumeration value="First Day Schedule"/>
                        <xsd:enumeration value="Admin Logistic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4b54f95a-c392-4915-b50c-618f44f31247"/>
  </documentManagement>
</p:properties>
</file>

<file path=customXml/itemProps1.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2.xml><?xml version="1.0" encoding="utf-8"?>
<ds:datastoreItem xmlns:ds="http://schemas.openxmlformats.org/officeDocument/2006/customXml" ds:itemID="{4869F1B6-BDD0-4595-8BD9-663F7ADB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f95a-c392-4915-b50c-618f44f31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4.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4b54f95a-c392-4915-b50c-618f44f31247"/>
  </ds:schemaRefs>
</ds:datastoreItem>
</file>

<file path=docProps/app.xml><?xml version="1.0" encoding="utf-8"?>
<Properties xmlns="http://schemas.openxmlformats.org/officeDocument/2006/extended-properties" xmlns:vt="http://schemas.openxmlformats.org/officeDocument/2006/docPropsVTypes">
  <Template>C:\Users\bhavumaki\Downloads\template - draft report (2).dotx</Template>
  <TotalTime>4</TotalTime>
  <Pages>12</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Havumaki</dc:creator>
  <cp:lastModifiedBy>Laura Gonzalez</cp:lastModifiedBy>
  <cp:revision>3</cp:revision>
  <cp:lastPrinted>2013-04-05T16:59:00Z</cp:lastPrinted>
  <dcterms:created xsi:type="dcterms:W3CDTF">2025-04-24T18:55:00Z</dcterms:created>
  <dcterms:modified xsi:type="dcterms:W3CDTF">2025-04-24T18:56:00Z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0x010100695F78587022F4419013A8A07848007E</vt:lpwstr>
  </property>
  <property fmtid="{D5CDD505-2E9C-101B-9397-08002B2CF9AE}" pid="3" name="_DocHome">
    <vt:i4>1721343193</vt:i4>
  </property>
</Properties>
</file>